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FDF52" w14:textId="3615F08C" w:rsidR="0057675D" w:rsidRPr="00816C6E" w:rsidRDefault="00D94758" w:rsidP="001D563D">
      <w:pPr>
        <w:spacing w:beforeLines="150" w:before="360" w:after="0" w:line="300" w:lineRule="auto"/>
        <w:jc w:val="center"/>
        <w:outlineLvl w:val="1"/>
        <w:rPr>
          <w:rFonts w:asciiTheme="majorBidi" w:hAnsiTheme="majorBidi" w:cstheme="majorBidi"/>
          <w:b/>
          <w:bCs/>
          <w:color w:val="000000" w:themeColor="text1"/>
          <w:sz w:val="28"/>
          <w:szCs w:val="28"/>
          <w:lang w:bidi="fa-IR"/>
        </w:rPr>
      </w:pPr>
      <w:r w:rsidRPr="00816C6E">
        <w:rPr>
          <w:rFonts w:asciiTheme="majorBidi" w:hAnsiTheme="majorBidi" w:cstheme="majorBidi"/>
          <w:b/>
          <w:bCs/>
          <w:color w:val="000000" w:themeColor="text1"/>
          <w:sz w:val="28"/>
          <w:szCs w:val="28"/>
          <w:lang w:bidi="fa-IR"/>
        </w:rPr>
        <w:t xml:space="preserve">How Brand Experience Drives Brand Equity in Social Commerce: </w:t>
      </w:r>
      <w:r w:rsidR="001D563D">
        <w:rPr>
          <w:rFonts w:asciiTheme="majorBidi" w:hAnsiTheme="majorBidi" w:cstheme="majorBidi"/>
          <w:b/>
          <w:bCs/>
          <w:color w:val="000000" w:themeColor="text1"/>
          <w:sz w:val="28"/>
          <w:szCs w:val="28"/>
          <w:lang w:bidi="fa-IR"/>
        </w:rPr>
        <w:br/>
      </w:r>
      <w:r w:rsidRPr="00816C6E">
        <w:rPr>
          <w:rFonts w:asciiTheme="majorBidi" w:hAnsiTheme="majorBidi" w:cstheme="majorBidi"/>
          <w:b/>
          <w:bCs/>
          <w:color w:val="000000" w:themeColor="text1"/>
          <w:sz w:val="28"/>
          <w:szCs w:val="28"/>
          <w:lang w:bidi="fa-IR"/>
        </w:rPr>
        <w:t>The Mediating Role of Brand Engagement</w:t>
      </w:r>
    </w:p>
    <w:p w14:paraId="31A72C54" w14:textId="77777777" w:rsidR="00ED4759" w:rsidRPr="00816C6E" w:rsidRDefault="00ED4759" w:rsidP="0057675D">
      <w:pPr>
        <w:spacing w:after="0" w:line="300" w:lineRule="auto"/>
        <w:jc w:val="center"/>
        <w:outlineLvl w:val="1"/>
        <w:rPr>
          <w:rFonts w:asciiTheme="majorBidi" w:hAnsiTheme="majorBidi" w:cstheme="majorBidi"/>
          <w:b/>
          <w:bCs/>
          <w:color w:val="000000" w:themeColor="text1"/>
          <w:sz w:val="28"/>
          <w:szCs w:val="28"/>
          <w:lang w:bidi="fa-IR"/>
        </w:rPr>
      </w:pPr>
    </w:p>
    <w:p w14:paraId="755C4D55" w14:textId="6DB3E97B" w:rsidR="00821386" w:rsidRPr="00816C6E" w:rsidRDefault="00D94758" w:rsidP="00821386">
      <w:pPr>
        <w:spacing w:after="0" w:line="360" w:lineRule="exact"/>
        <w:jc w:val="center"/>
        <w:rPr>
          <w:rFonts w:ascii="Times New Roman" w:hAnsi="Times New Roman" w:cs="Times New Roman"/>
          <w:sz w:val="26"/>
          <w:szCs w:val="26"/>
          <w:shd w:val="clear" w:color="auto" w:fill="FFFFFF"/>
        </w:rPr>
      </w:pPr>
      <w:proofErr w:type="spellStart"/>
      <w:r w:rsidRPr="00816C6E">
        <w:rPr>
          <w:rFonts w:ascii="Times New Roman" w:hAnsi="Times New Roman" w:cs="Times New Roman"/>
          <w:sz w:val="26"/>
          <w:szCs w:val="26"/>
          <w:shd w:val="clear" w:color="auto" w:fill="FFFFFF"/>
        </w:rPr>
        <w:t>Erni</w:t>
      </w:r>
      <w:proofErr w:type="spellEnd"/>
      <w:r w:rsidRPr="00816C6E">
        <w:rPr>
          <w:rFonts w:ascii="Times New Roman" w:hAnsi="Times New Roman" w:cs="Times New Roman"/>
          <w:sz w:val="26"/>
          <w:szCs w:val="26"/>
          <w:shd w:val="clear" w:color="auto" w:fill="FFFFFF"/>
        </w:rPr>
        <w:t xml:space="preserve"> Martini</w:t>
      </w:r>
    </w:p>
    <w:p w14:paraId="710FA645" w14:textId="77777777" w:rsidR="004C3F45" w:rsidRDefault="00D94758" w:rsidP="004C3F45">
      <w:pPr>
        <w:tabs>
          <w:tab w:val="left" w:pos="1174"/>
        </w:tabs>
        <w:spacing w:after="0" w:line="360" w:lineRule="auto"/>
        <w:jc w:val="center"/>
        <w:rPr>
          <w:rFonts w:ascii="Times New Roman" w:eastAsia="Calibri" w:hAnsi="Times New Roman" w:cs="Times New Roman"/>
          <w:color w:val="000000"/>
          <w:kern w:val="2"/>
          <w:sz w:val="24"/>
          <w:szCs w:val="24"/>
          <w:shd w:val="clear" w:color="auto" w:fill="FFFFFF"/>
          <w:lang w:val="pt-BR" w:bidi="fa-IR"/>
        </w:rPr>
      </w:pPr>
      <w:r w:rsidRPr="004C3F45">
        <w:rPr>
          <w:rFonts w:ascii="Times New Roman" w:eastAsia="Calibri" w:hAnsi="Times New Roman" w:cs="Times New Roman"/>
          <w:color w:val="000000"/>
          <w:sz w:val="24"/>
          <w:szCs w:val="24"/>
          <w:shd w:val="clear" w:color="auto" w:fill="FFFFFF"/>
          <w:lang w:bidi="fa-IR"/>
        </w:rPr>
        <w:t>Management Study Program, School</w:t>
      </w:r>
      <w:r>
        <w:rPr>
          <w:rFonts w:ascii="Times New Roman" w:eastAsia="Calibri" w:hAnsi="Times New Roman" w:cs="Times New Roman"/>
          <w:color w:val="000000"/>
          <w:sz w:val="24"/>
          <w:szCs w:val="24"/>
          <w:shd w:val="clear" w:color="auto" w:fill="FFFFFF"/>
          <w:lang w:bidi="fa-IR"/>
        </w:rPr>
        <w:t xml:space="preserve"> </w:t>
      </w:r>
      <w:r w:rsidRPr="004C3F45">
        <w:rPr>
          <w:rFonts w:ascii="Times New Roman" w:eastAsia="Calibri" w:hAnsi="Times New Roman" w:cs="Times New Roman"/>
          <w:color w:val="000000"/>
          <w:sz w:val="24"/>
          <w:szCs w:val="24"/>
          <w:shd w:val="clear" w:color="auto" w:fill="FFFFFF"/>
          <w:lang w:bidi="fa-IR"/>
        </w:rPr>
        <w:t>of Economics and Business, Telkom</w:t>
      </w:r>
      <w:r>
        <w:rPr>
          <w:rFonts w:ascii="Times New Roman" w:eastAsia="Calibri" w:hAnsi="Times New Roman" w:cs="Times New Roman"/>
          <w:color w:val="000000"/>
          <w:sz w:val="24"/>
          <w:szCs w:val="24"/>
          <w:shd w:val="clear" w:color="auto" w:fill="FFFFFF"/>
          <w:lang w:bidi="fa-IR"/>
        </w:rPr>
        <w:t xml:space="preserve"> </w:t>
      </w:r>
      <w:r w:rsidRPr="004C3F45">
        <w:rPr>
          <w:rFonts w:ascii="Times New Roman" w:eastAsia="Calibri" w:hAnsi="Times New Roman" w:cs="Times New Roman"/>
          <w:color w:val="000000"/>
          <w:sz w:val="24"/>
          <w:szCs w:val="24"/>
          <w:shd w:val="clear" w:color="auto" w:fill="FFFFFF"/>
          <w:lang w:bidi="fa-IR"/>
        </w:rPr>
        <w:t>University, Bandung, Indonesia</w:t>
      </w:r>
      <w:r w:rsidRPr="004C3F45">
        <w:rPr>
          <w:rFonts w:ascii="Times New Roman" w:eastAsia="Calibri" w:hAnsi="Times New Roman" w:cs="Times New Roman"/>
          <w:color w:val="000000"/>
          <w:kern w:val="2"/>
          <w:sz w:val="24"/>
          <w:szCs w:val="24"/>
          <w:shd w:val="clear" w:color="auto" w:fill="FFFFFF"/>
          <w:lang w:val="pt-BR" w:bidi="fa-IR"/>
        </w:rPr>
        <w:t xml:space="preserve"> </w:t>
      </w:r>
    </w:p>
    <w:p w14:paraId="006A9098" w14:textId="77777777" w:rsidR="00821386" w:rsidRPr="004C3F45" w:rsidRDefault="00D94758" w:rsidP="004C3F45">
      <w:pPr>
        <w:tabs>
          <w:tab w:val="left" w:pos="1174"/>
        </w:tabs>
        <w:spacing w:after="0" w:line="360" w:lineRule="auto"/>
        <w:jc w:val="center"/>
        <w:rPr>
          <w:rFonts w:ascii="Times New Roman" w:eastAsia="Calibri" w:hAnsi="Times New Roman" w:cs="Times New Roman"/>
          <w:color w:val="000000"/>
          <w:sz w:val="24"/>
          <w:szCs w:val="24"/>
          <w:shd w:val="clear" w:color="auto" w:fill="FFFFFF"/>
          <w:lang w:bidi="fa-IR"/>
        </w:rPr>
      </w:pPr>
      <w:r w:rsidRPr="00816C6E">
        <w:rPr>
          <w:rFonts w:ascii="Times New Roman" w:hAnsi="Times New Roman" w:cs="Times New Roman"/>
          <w:kern w:val="2"/>
          <w:sz w:val="26"/>
          <w:szCs w:val="26"/>
          <w:lang w:val="pt-BR"/>
        </w:rPr>
        <w:t xml:space="preserve">E-mail: </w:t>
      </w:r>
      <w:r w:rsidR="00ED4759" w:rsidRPr="00816C6E">
        <w:rPr>
          <w:rFonts w:ascii="Times New Roman" w:eastAsia="Calibri" w:hAnsi="Times New Roman" w:cs="Times New Roman"/>
          <w:sz w:val="24"/>
          <w:szCs w:val="24"/>
          <w:lang w:val="es-ES" w:bidi="fa-IR"/>
        </w:rPr>
        <w:t>ernimartini@telkomuniversity.ac.id</w:t>
      </w:r>
    </w:p>
    <w:p w14:paraId="1339BD83" w14:textId="77777777" w:rsidR="00821386" w:rsidRPr="00816C6E" w:rsidRDefault="00821386" w:rsidP="00821386">
      <w:pPr>
        <w:spacing w:after="0" w:line="360" w:lineRule="exact"/>
        <w:jc w:val="center"/>
        <w:rPr>
          <w:rFonts w:ascii="Times New Roman" w:hAnsi="Times New Roman" w:cs="Times New Roman"/>
          <w:sz w:val="26"/>
          <w:szCs w:val="26"/>
          <w:shd w:val="clear" w:color="auto" w:fill="FFFFFF"/>
          <w:lang w:val="es-ES"/>
        </w:rPr>
      </w:pPr>
    </w:p>
    <w:p w14:paraId="2927F71A" w14:textId="77777777" w:rsidR="00821386" w:rsidRPr="00816C6E" w:rsidRDefault="00D94758" w:rsidP="00821386">
      <w:pPr>
        <w:spacing w:after="0" w:line="360" w:lineRule="exact"/>
        <w:jc w:val="center"/>
        <w:rPr>
          <w:rFonts w:ascii="Times New Roman" w:hAnsi="Times New Roman" w:cs="Times New Roman"/>
          <w:sz w:val="26"/>
          <w:szCs w:val="26"/>
          <w:lang w:val="es-ES"/>
        </w:rPr>
      </w:pPr>
      <w:r w:rsidRPr="00816C6E">
        <w:rPr>
          <w:rFonts w:ascii="Times New Roman" w:hAnsi="Times New Roman" w:cs="Times New Roman"/>
          <w:sz w:val="26"/>
          <w:szCs w:val="26"/>
          <w:lang w:val="es-ES"/>
        </w:rPr>
        <w:t>Adhi Prasetio</w:t>
      </w:r>
    </w:p>
    <w:p w14:paraId="7D3F5B5F" w14:textId="77777777" w:rsidR="004C3F45" w:rsidRDefault="00D94758" w:rsidP="004C3F45">
      <w:pPr>
        <w:tabs>
          <w:tab w:val="left" w:pos="1174"/>
        </w:tabs>
        <w:spacing w:after="0" w:line="360" w:lineRule="auto"/>
        <w:jc w:val="center"/>
        <w:rPr>
          <w:rFonts w:ascii="Times New Roman" w:eastAsia="Calibri" w:hAnsi="Times New Roman" w:cs="Times New Roman"/>
          <w:color w:val="000000"/>
          <w:kern w:val="2"/>
          <w:sz w:val="24"/>
          <w:szCs w:val="24"/>
          <w:shd w:val="clear" w:color="auto" w:fill="FFFFFF"/>
          <w:lang w:val="pt-BR" w:bidi="fa-IR"/>
        </w:rPr>
      </w:pPr>
      <w:r w:rsidRPr="004C3F45">
        <w:rPr>
          <w:rFonts w:ascii="Times New Roman" w:eastAsia="Calibri" w:hAnsi="Times New Roman" w:cs="Times New Roman"/>
          <w:color w:val="000000"/>
          <w:sz w:val="24"/>
          <w:szCs w:val="24"/>
          <w:shd w:val="clear" w:color="auto" w:fill="FFFFFF"/>
          <w:lang w:bidi="fa-IR"/>
        </w:rPr>
        <w:t>Management Study Program, School</w:t>
      </w:r>
      <w:r>
        <w:rPr>
          <w:rFonts w:ascii="Times New Roman" w:eastAsia="Calibri" w:hAnsi="Times New Roman" w:cs="Times New Roman"/>
          <w:color w:val="000000"/>
          <w:sz w:val="24"/>
          <w:szCs w:val="24"/>
          <w:shd w:val="clear" w:color="auto" w:fill="FFFFFF"/>
          <w:lang w:bidi="fa-IR"/>
        </w:rPr>
        <w:t xml:space="preserve"> </w:t>
      </w:r>
      <w:r w:rsidRPr="004C3F45">
        <w:rPr>
          <w:rFonts w:ascii="Times New Roman" w:eastAsia="Calibri" w:hAnsi="Times New Roman" w:cs="Times New Roman"/>
          <w:color w:val="000000"/>
          <w:sz w:val="24"/>
          <w:szCs w:val="24"/>
          <w:shd w:val="clear" w:color="auto" w:fill="FFFFFF"/>
          <w:lang w:bidi="fa-IR"/>
        </w:rPr>
        <w:t>of Economics and Business, Telkom</w:t>
      </w:r>
      <w:r>
        <w:rPr>
          <w:rFonts w:ascii="Times New Roman" w:eastAsia="Calibri" w:hAnsi="Times New Roman" w:cs="Times New Roman"/>
          <w:color w:val="000000"/>
          <w:sz w:val="24"/>
          <w:szCs w:val="24"/>
          <w:shd w:val="clear" w:color="auto" w:fill="FFFFFF"/>
          <w:lang w:bidi="fa-IR"/>
        </w:rPr>
        <w:t xml:space="preserve"> </w:t>
      </w:r>
      <w:r w:rsidRPr="004C3F45">
        <w:rPr>
          <w:rFonts w:ascii="Times New Roman" w:eastAsia="Calibri" w:hAnsi="Times New Roman" w:cs="Times New Roman"/>
          <w:color w:val="000000"/>
          <w:sz w:val="24"/>
          <w:szCs w:val="24"/>
          <w:shd w:val="clear" w:color="auto" w:fill="FFFFFF"/>
          <w:lang w:bidi="fa-IR"/>
        </w:rPr>
        <w:t>University, Bandung, Indonesia</w:t>
      </w:r>
      <w:r w:rsidRPr="004C3F45">
        <w:rPr>
          <w:rFonts w:ascii="Times New Roman" w:eastAsia="Calibri" w:hAnsi="Times New Roman" w:cs="Times New Roman"/>
          <w:color w:val="000000"/>
          <w:kern w:val="2"/>
          <w:sz w:val="24"/>
          <w:szCs w:val="24"/>
          <w:shd w:val="clear" w:color="auto" w:fill="FFFFFF"/>
          <w:lang w:val="pt-BR" w:bidi="fa-IR"/>
        </w:rPr>
        <w:t xml:space="preserve"> </w:t>
      </w:r>
    </w:p>
    <w:p w14:paraId="02A1598B" w14:textId="77777777" w:rsidR="00821386" w:rsidRDefault="00D94758" w:rsidP="00ED4759">
      <w:pPr>
        <w:spacing w:after="0" w:line="360" w:lineRule="exact"/>
        <w:jc w:val="center"/>
        <w:rPr>
          <w:rFonts w:ascii="Times New Roman" w:eastAsia="Calibri" w:hAnsi="Times New Roman" w:cs="Times New Roman"/>
          <w:color w:val="000000"/>
          <w:sz w:val="24"/>
          <w:szCs w:val="24"/>
          <w:lang w:bidi="fa-IR"/>
        </w:rPr>
      </w:pPr>
      <w:r w:rsidRPr="00816C6E">
        <w:rPr>
          <w:rFonts w:ascii="Times New Roman" w:eastAsia="Calibri" w:hAnsi="Times New Roman" w:cs="Times New Roman"/>
          <w:color w:val="000000"/>
          <w:sz w:val="24"/>
          <w:szCs w:val="24"/>
          <w:lang w:bidi="fa-IR"/>
        </w:rPr>
        <w:t xml:space="preserve">E-mail: </w:t>
      </w:r>
      <w:hyperlink r:id="rId8" w:history="1">
        <w:r w:rsidR="001D563D" w:rsidRPr="008C311D">
          <w:rPr>
            <w:rStyle w:val="af0"/>
            <w:rFonts w:ascii="Times New Roman" w:eastAsia="Calibri" w:hAnsi="Times New Roman" w:cs="Times New Roman"/>
            <w:sz w:val="24"/>
            <w:szCs w:val="24"/>
            <w:lang w:bidi="fa-IR"/>
          </w:rPr>
          <w:t>adhipras@telkomuniversity.ac.id</w:t>
        </w:r>
      </w:hyperlink>
    </w:p>
    <w:p w14:paraId="02F4D555" w14:textId="77777777" w:rsidR="001D563D" w:rsidRPr="00816C6E" w:rsidRDefault="001D563D" w:rsidP="00ED4759">
      <w:pPr>
        <w:spacing w:after="0" w:line="360" w:lineRule="exact"/>
        <w:jc w:val="center"/>
        <w:rPr>
          <w:rFonts w:ascii="Times New Roman" w:hAnsi="Times New Roman" w:cs="Times New Roman"/>
          <w:sz w:val="26"/>
          <w:szCs w:val="26"/>
          <w:lang w:val="es-ES"/>
        </w:rPr>
      </w:pPr>
    </w:p>
    <w:p w14:paraId="05A8DB54" w14:textId="77777777" w:rsidR="0057675D" w:rsidRPr="00816C6E" w:rsidRDefault="0057675D" w:rsidP="00821386">
      <w:pPr>
        <w:spacing w:after="0" w:line="360" w:lineRule="exact"/>
        <w:jc w:val="lowKashida"/>
        <w:rPr>
          <w:rFonts w:ascii="Times New Roman" w:hAnsi="Times New Roman" w:cs="Times New Roman"/>
          <w:b/>
          <w:bCs/>
          <w:color w:val="000000" w:themeColor="text1"/>
          <w:sz w:val="26"/>
          <w:szCs w:val="26"/>
          <w:lang w:bidi="fa-IR"/>
        </w:rPr>
      </w:pPr>
    </w:p>
    <w:p w14:paraId="39F2C787" w14:textId="77777777" w:rsidR="0057675D" w:rsidRPr="00816C6E" w:rsidRDefault="002636E0" w:rsidP="00821386">
      <w:pPr>
        <w:spacing w:after="0" w:line="360" w:lineRule="exact"/>
        <w:jc w:val="center"/>
        <w:rPr>
          <w:rFonts w:ascii="Times New Roman" w:hAnsi="Times New Roman" w:cs="Times New Roman"/>
          <w:color w:val="000000" w:themeColor="text1"/>
          <w:sz w:val="26"/>
          <w:szCs w:val="26"/>
        </w:rPr>
      </w:pPr>
      <w:sdt>
        <w:sdtPr>
          <w:rPr>
            <w:rFonts w:ascii="Times New Roman" w:eastAsia="MS Gothic" w:hAnsi="Times New Roman" w:cs="Times New Roman"/>
            <w:b/>
            <w:bCs/>
            <w:iCs/>
            <w:caps/>
            <w:color w:val="000000" w:themeColor="text1"/>
            <w:sz w:val="26"/>
            <w:szCs w:val="26"/>
            <w:lang w:val="id-ID" w:eastAsia="id-ID"/>
          </w:rPr>
          <w:id w:val="-1784568489"/>
          <w:placeholder>
            <w:docPart w:val="1CF40A749DD24ABFAA08AF99E6B45943"/>
          </w:placeholder>
        </w:sdtPr>
        <w:sdtEndPr/>
        <w:sdtContent>
          <w:r w:rsidR="00032C5C" w:rsidRPr="00816C6E">
            <w:rPr>
              <w:rFonts w:ascii="Times New Roman" w:eastAsia="MS Gothic" w:hAnsi="Times New Roman" w:cs="Times New Roman"/>
              <w:b/>
              <w:bCs/>
              <w:iCs/>
              <w:caps/>
              <w:color w:val="000000" w:themeColor="text1"/>
              <w:sz w:val="26"/>
              <w:szCs w:val="26"/>
              <w:lang w:val="id-ID" w:eastAsia="id-ID"/>
            </w:rPr>
            <w:t>Abstract</w:t>
          </w:r>
        </w:sdtContent>
      </w:sdt>
    </w:p>
    <w:p w14:paraId="31DD6A16" w14:textId="77777777" w:rsidR="0057675D" w:rsidRPr="00816C6E" w:rsidRDefault="00D94758" w:rsidP="00821386">
      <w:pPr>
        <w:spacing w:after="0" w:line="360" w:lineRule="exact"/>
        <w:ind w:firstLineChars="200" w:firstLine="520"/>
        <w:jc w:val="lowKashida"/>
        <w:rPr>
          <w:rFonts w:ascii="Times New Roman" w:hAnsi="Times New Roman" w:cs="Times New Roman"/>
          <w:color w:val="000000" w:themeColor="text1"/>
          <w:sz w:val="26"/>
          <w:szCs w:val="26"/>
        </w:rPr>
      </w:pPr>
      <w:r w:rsidRPr="00816C6E">
        <w:rPr>
          <w:rFonts w:ascii="Times New Roman" w:hAnsi="Times New Roman" w:cs="Times New Roman"/>
          <w:color w:val="000000" w:themeColor="text1"/>
          <w:sz w:val="26"/>
          <w:szCs w:val="26"/>
        </w:rPr>
        <w:t>While brand experience and brand engagement are widely recognized as key drivers of marketing success and brand equity, limited research has examined how engagement functions as both a predictor and a mediating mechanism within social commerce. This study aims to demonstrate how brand experience influences brand equity through brand engagement, highlighting engagement as a key mechanism underlying this relationship. The study population comprises social commerce users, and data were collected from 262 respondents through simple random sampling. PLS-SEM is applied to test the conceptual model hypotheses. The findings show that brand experience and brand engagement have a significant positive influence on brand equity. Brand engagement partially mediates the relationship</w:t>
      </w:r>
      <w:r w:rsidR="00580924" w:rsidRPr="00816C6E">
        <w:rPr>
          <w:rFonts w:ascii="Times New Roman" w:hAnsi="Times New Roman" w:cs="Times New Roman"/>
          <w:color w:val="000000" w:themeColor="text1"/>
          <w:sz w:val="26"/>
          <w:szCs w:val="26"/>
        </w:rPr>
        <w:t xml:space="preserve"> between brand experience and brand equity</w:t>
      </w:r>
      <w:r w:rsidRPr="00816C6E">
        <w:rPr>
          <w:rFonts w:ascii="Times New Roman" w:hAnsi="Times New Roman" w:cs="Times New Roman"/>
          <w:color w:val="000000" w:themeColor="text1"/>
          <w:sz w:val="26"/>
          <w:szCs w:val="26"/>
        </w:rPr>
        <w:t xml:space="preserve">. </w:t>
      </w:r>
      <w:proofErr w:type="gramStart"/>
      <w:r w:rsidRPr="00816C6E">
        <w:rPr>
          <w:rFonts w:ascii="Times New Roman" w:hAnsi="Times New Roman" w:cs="Times New Roman"/>
          <w:color w:val="000000" w:themeColor="text1"/>
          <w:sz w:val="26"/>
          <w:szCs w:val="26"/>
        </w:rPr>
        <w:t>This finding highlights</w:t>
      </w:r>
      <w:proofErr w:type="gramEnd"/>
      <w:r w:rsidRPr="00816C6E">
        <w:rPr>
          <w:rFonts w:ascii="Times New Roman" w:hAnsi="Times New Roman" w:cs="Times New Roman"/>
          <w:color w:val="000000" w:themeColor="text1"/>
          <w:sz w:val="26"/>
          <w:szCs w:val="26"/>
        </w:rPr>
        <w:t xml:space="preserve"> brand engagement as an important mechanism through which brand experience contributes to the development of brand equity in social commerce. The findings enrich theoretical understanding of how brand experience and engagement interact to shape brand equity in social commerce environments. This study provides actionable guidance for marketers in social commerce by demonstrating the interplay between brand experience, brand engagement, and brand equity.</w:t>
      </w:r>
    </w:p>
    <w:p w14:paraId="163BAB22" w14:textId="77777777" w:rsidR="003C568D" w:rsidRPr="00816C6E" w:rsidRDefault="003C568D" w:rsidP="00821386">
      <w:pPr>
        <w:spacing w:after="0" w:line="360" w:lineRule="exact"/>
        <w:ind w:firstLineChars="200" w:firstLine="520"/>
        <w:jc w:val="lowKashida"/>
        <w:rPr>
          <w:rFonts w:ascii="Times New Roman" w:hAnsi="Times New Roman" w:cs="Times New Roman"/>
          <w:color w:val="000000" w:themeColor="text1"/>
          <w:sz w:val="26"/>
          <w:szCs w:val="26"/>
        </w:rPr>
      </w:pPr>
    </w:p>
    <w:p w14:paraId="0A20E25D" w14:textId="77777777" w:rsidR="0057675D" w:rsidRPr="00816C6E" w:rsidRDefault="00D94758" w:rsidP="003C568D">
      <w:pPr>
        <w:spacing w:after="0" w:line="360" w:lineRule="exact"/>
        <w:ind w:left="1278" w:hangingChars="491" w:hanging="1278"/>
        <w:jc w:val="lowKashida"/>
        <w:rPr>
          <w:rFonts w:ascii="Times New Roman" w:hAnsi="Times New Roman" w:cs="Times New Roman"/>
          <w:color w:val="000000" w:themeColor="text1"/>
          <w:sz w:val="26"/>
          <w:szCs w:val="26"/>
          <w:lang w:bidi="fa-IR"/>
        </w:rPr>
      </w:pPr>
      <w:r w:rsidRPr="00816C6E">
        <w:rPr>
          <w:rFonts w:ascii="Times New Roman" w:hAnsi="Times New Roman" w:cs="Times New Roman"/>
          <w:b/>
          <w:bCs/>
          <w:color w:val="000000" w:themeColor="text1"/>
          <w:sz w:val="26"/>
          <w:szCs w:val="26"/>
          <w:lang w:bidi="fa-IR"/>
        </w:rPr>
        <w:t xml:space="preserve">Keywords: </w:t>
      </w:r>
      <w:r w:rsidR="00ED4759" w:rsidRPr="00816C6E">
        <w:rPr>
          <w:rFonts w:ascii="Times New Roman" w:hAnsi="Times New Roman" w:cs="Times New Roman"/>
          <w:color w:val="000000" w:themeColor="text1"/>
          <w:sz w:val="26"/>
          <w:szCs w:val="26"/>
          <w:lang w:bidi="fa-IR"/>
        </w:rPr>
        <w:t xml:space="preserve">Brand </w:t>
      </w:r>
      <w:r w:rsidR="007C5CC3" w:rsidRPr="00816C6E">
        <w:rPr>
          <w:rFonts w:ascii="Times New Roman" w:hAnsi="Times New Roman" w:cs="Times New Roman"/>
          <w:color w:val="000000" w:themeColor="text1"/>
          <w:sz w:val="26"/>
          <w:szCs w:val="26"/>
          <w:lang w:bidi="fa-IR"/>
        </w:rPr>
        <w:t>experience</w:t>
      </w:r>
      <w:r w:rsidR="00ED4759" w:rsidRPr="00816C6E">
        <w:rPr>
          <w:rFonts w:ascii="Times New Roman" w:hAnsi="Times New Roman" w:cs="Times New Roman"/>
          <w:color w:val="000000" w:themeColor="text1"/>
          <w:sz w:val="26"/>
          <w:szCs w:val="26"/>
          <w:lang w:bidi="fa-IR"/>
        </w:rPr>
        <w:t xml:space="preserve">, Brand </w:t>
      </w:r>
      <w:r w:rsidR="007C5CC3" w:rsidRPr="00816C6E">
        <w:rPr>
          <w:rFonts w:ascii="Times New Roman" w:hAnsi="Times New Roman" w:cs="Times New Roman"/>
          <w:color w:val="000000" w:themeColor="text1"/>
          <w:sz w:val="26"/>
          <w:szCs w:val="26"/>
          <w:lang w:bidi="fa-IR"/>
        </w:rPr>
        <w:t>engagement</w:t>
      </w:r>
      <w:r w:rsidR="00ED4759" w:rsidRPr="00816C6E">
        <w:rPr>
          <w:rFonts w:ascii="Times New Roman" w:hAnsi="Times New Roman" w:cs="Times New Roman"/>
          <w:color w:val="000000" w:themeColor="text1"/>
          <w:sz w:val="26"/>
          <w:szCs w:val="26"/>
          <w:lang w:bidi="fa-IR"/>
        </w:rPr>
        <w:t xml:space="preserve">, Brand </w:t>
      </w:r>
      <w:r w:rsidR="007C5CC3" w:rsidRPr="00816C6E">
        <w:rPr>
          <w:rFonts w:ascii="Times New Roman" w:hAnsi="Times New Roman" w:cs="Times New Roman"/>
          <w:color w:val="000000" w:themeColor="text1"/>
          <w:sz w:val="26"/>
          <w:szCs w:val="26"/>
          <w:lang w:bidi="fa-IR"/>
        </w:rPr>
        <w:t>equity</w:t>
      </w:r>
      <w:r w:rsidR="00ED4759" w:rsidRPr="00816C6E">
        <w:rPr>
          <w:rFonts w:ascii="Times New Roman" w:hAnsi="Times New Roman" w:cs="Times New Roman"/>
          <w:color w:val="000000" w:themeColor="text1"/>
          <w:sz w:val="26"/>
          <w:szCs w:val="26"/>
          <w:lang w:bidi="fa-IR"/>
        </w:rPr>
        <w:t xml:space="preserve">, </w:t>
      </w:r>
      <w:proofErr w:type="gramStart"/>
      <w:r w:rsidR="00ED4759" w:rsidRPr="00816C6E">
        <w:rPr>
          <w:rFonts w:ascii="Times New Roman" w:hAnsi="Times New Roman" w:cs="Times New Roman"/>
          <w:color w:val="000000" w:themeColor="text1"/>
          <w:sz w:val="26"/>
          <w:szCs w:val="26"/>
          <w:lang w:bidi="fa-IR"/>
        </w:rPr>
        <w:t>Social</w:t>
      </w:r>
      <w:proofErr w:type="gramEnd"/>
      <w:r w:rsidR="00ED4759" w:rsidRPr="00816C6E">
        <w:rPr>
          <w:rFonts w:ascii="Times New Roman" w:hAnsi="Times New Roman" w:cs="Times New Roman"/>
          <w:color w:val="000000" w:themeColor="text1"/>
          <w:sz w:val="26"/>
          <w:szCs w:val="26"/>
          <w:lang w:bidi="fa-IR"/>
        </w:rPr>
        <w:t xml:space="preserve"> </w:t>
      </w:r>
      <w:r w:rsidR="007C5CC3" w:rsidRPr="00816C6E">
        <w:rPr>
          <w:rFonts w:ascii="Times New Roman" w:hAnsi="Times New Roman" w:cs="Times New Roman"/>
          <w:color w:val="000000" w:themeColor="text1"/>
          <w:sz w:val="26"/>
          <w:szCs w:val="26"/>
          <w:lang w:bidi="fa-IR"/>
        </w:rPr>
        <w:t>commerce</w:t>
      </w:r>
      <w:r w:rsidR="00ED4759" w:rsidRPr="00816C6E">
        <w:rPr>
          <w:rFonts w:ascii="Times New Roman" w:hAnsi="Times New Roman" w:cs="Times New Roman"/>
          <w:color w:val="000000" w:themeColor="text1"/>
          <w:sz w:val="26"/>
          <w:szCs w:val="26"/>
          <w:lang w:bidi="fa-IR"/>
        </w:rPr>
        <w:t>, PLS-SEM</w:t>
      </w:r>
    </w:p>
    <w:p w14:paraId="48540AD4" w14:textId="77777777" w:rsidR="0057675D" w:rsidRPr="00816C6E" w:rsidRDefault="00D94758" w:rsidP="009B1458">
      <w:pPr>
        <w:spacing w:after="0" w:line="276" w:lineRule="auto"/>
        <w:ind w:left="425" w:right="425" w:hanging="425"/>
        <w:jc w:val="center"/>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lastRenderedPageBreak/>
        <w:t>INTRODUCTION</w:t>
      </w:r>
    </w:p>
    <w:p w14:paraId="5B304114" w14:textId="57C31B97" w:rsidR="00ED4759" w:rsidRPr="00816C6E" w:rsidRDefault="00D94758" w:rsidP="009B1458">
      <w:pPr>
        <w:overflowPunct w:val="0"/>
        <w:snapToGrid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 xml:space="preserve">Social commerce has become a salient component of the digital economy, contributing to consumption </w:t>
      </w:r>
      <w:proofErr w:type="gramStart"/>
      <w:r w:rsidRPr="00816C6E">
        <w:rPr>
          <w:rFonts w:ascii="Times New Roman" w:hAnsi="Times New Roman" w:cs="Times New Roman"/>
          <w:color w:val="000000" w:themeColor="text1"/>
          <w:sz w:val="26"/>
          <w:szCs w:val="26"/>
          <w:lang w:bidi="fa-IR"/>
        </w:rPr>
        <w:t>growth</w:t>
      </w:r>
      <w:proofErr w:type="gramEnd"/>
      <w:r w:rsidRPr="00816C6E">
        <w:rPr>
          <w:rFonts w:ascii="Times New Roman" w:hAnsi="Times New Roman" w:cs="Times New Roman"/>
          <w:color w:val="000000" w:themeColor="text1"/>
          <w:sz w:val="26"/>
          <w:szCs w:val="26"/>
          <w:lang w:bidi="fa-IR"/>
        </w:rPr>
        <w:t xml:space="preserve"> and expanding opportunities in digital labor (Shen et al., 2019; Wang et al., 2019). Social commerce has evolved into an integrated platform that facilitates promotional activities and enables commercial transactions (</w:t>
      </w:r>
      <w:proofErr w:type="spellStart"/>
      <w:r w:rsidRPr="00816C6E">
        <w:rPr>
          <w:rFonts w:ascii="Times New Roman" w:hAnsi="Times New Roman" w:cs="Times New Roman"/>
          <w:color w:val="000000" w:themeColor="text1"/>
          <w:sz w:val="26"/>
          <w:szCs w:val="26"/>
          <w:lang w:bidi="fa-IR"/>
        </w:rPr>
        <w:t>Xue</w:t>
      </w:r>
      <w:proofErr w:type="spellEnd"/>
      <w:r w:rsidRPr="00816C6E">
        <w:rPr>
          <w:rFonts w:ascii="Times New Roman" w:hAnsi="Times New Roman" w:cs="Times New Roman"/>
          <w:color w:val="000000" w:themeColor="text1"/>
          <w:sz w:val="26"/>
          <w:szCs w:val="26"/>
          <w:lang w:bidi="fa-IR"/>
        </w:rPr>
        <w:t xml:space="preserve"> et al., 2020). Research on social commerce is a promising area for studying online consumer behavior and technology adoption (</w:t>
      </w:r>
      <w:proofErr w:type="spellStart"/>
      <w:r w:rsidRPr="00816C6E">
        <w:rPr>
          <w:rFonts w:ascii="Times New Roman" w:hAnsi="Times New Roman" w:cs="Times New Roman"/>
          <w:color w:val="000000" w:themeColor="text1"/>
          <w:sz w:val="26"/>
          <w:szCs w:val="26"/>
          <w:lang w:bidi="fa-IR"/>
        </w:rPr>
        <w:t>Esmaeili</w:t>
      </w:r>
      <w:proofErr w:type="spellEnd"/>
      <w:r w:rsidRPr="00816C6E">
        <w:rPr>
          <w:rFonts w:ascii="Times New Roman" w:hAnsi="Times New Roman" w:cs="Times New Roman"/>
          <w:color w:val="000000" w:themeColor="text1"/>
          <w:sz w:val="26"/>
          <w:szCs w:val="26"/>
          <w:lang w:bidi="fa-IR"/>
        </w:rPr>
        <w:t xml:space="preserve"> &amp; Hashemi</w:t>
      </w:r>
      <w:r w:rsidR="004F0DBE">
        <w:rPr>
          <w:rFonts w:ascii="Times New Roman" w:hAnsi="Times New Roman" w:cs="Times New Roman"/>
          <w:color w:val="000000" w:themeColor="text1"/>
          <w:sz w:val="26"/>
          <w:szCs w:val="26"/>
          <w:lang w:bidi="fa-IR"/>
        </w:rPr>
        <w:t xml:space="preserve"> G.</w:t>
      </w:r>
      <w:r w:rsidRPr="00816C6E">
        <w:rPr>
          <w:rFonts w:ascii="Times New Roman" w:hAnsi="Times New Roman" w:cs="Times New Roman"/>
          <w:color w:val="000000" w:themeColor="text1"/>
          <w:sz w:val="26"/>
          <w:szCs w:val="26"/>
          <w:lang w:bidi="fa-IR"/>
        </w:rPr>
        <w:t xml:space="preserve">, 2019). E-commerce and social media platforms, also known as social commerce, enable brands to </w:t>
      </w:r>
      <w:r w:rsidR="005F594D">
        <w:rPr>
          <w:rFonts w:ascii="Times New Roman" w:hAnsi="Times New Roman" w:cs="Times New Roman"/>
          <w:color w:val="000000" w:themeColor="text1"/>
          <w:sz w:val="26"/>
          <w:szCs w:val="26"/>
          <w:lang w:bidi="fa-IR"/>
        </w:rPr>
        <w:t>better understand</w:t>
      </w:r>
      <w:r w:rsidRPr="00816C6E">
        <w:rPr>
          <w:rFonts w:ascii="Times New Roman" w:hAnsi="Times New Roman" w:cs="Times New Roman"/>
          <w:color w:val="000000" w:themeColor="text1"/>
          <w:sz w:val="26"/>
          <w:szCs w:val="26"/>
          <w:lang w:bidi="fa-IR"/>
        </w:rPr>
        <w:t xml:space="preserve"> consumer needs through direct two-way communication, share information in a competitive global environment, and facilitate purchasing transactions on a single platform (</w:t>
      </w:r>
      <w:proofErr w:type="spellStart"/>
      <w:r w:rsidR="007E11FE" w:rsidRPr="00816C6E">
        <w:rPr>
          <w:rFonts w:ascii="Times New Roman" w:hAnsi="Times New Roman" w:cs="Times New Roman"/>
          <w:color w:val="000000" w:themeColor="text1"/>
          <w:sz w:val="26"/>
          <w:szCs w:val="26"/>
          <w:lang w:bidi="fa-IR"/>
        </w:rPr>
        <w:t>Rosário</w:t>
      </w:r>
      <w:proofErr w:type="spellEnd"/>
      <w:r w:rsidR="007E11FE" w:rsidRPr="00816C6E">
        <w:rPr>
          <w:rFonts w:ascii="Times New Roman" w:hAnsi="Times New Roman" w:cs="Times New Roman"/>
          <w:color w:val="000000" w:themeColor="text1"/>
          <w:sz w:val="26"/>
          <w:szCs w:val="26"/>
          <w:lang w:bidi="fa-IR"/>
        </w:rPr>
        <w:t xml:space="preserve"> &amp; Raimundo, 2021</w:t>
      </w:r>
      <w:r w:rsidR="007E11FE">
        <w:rPr>
          <w:rFonts w:ascii="Times New Roman" w:hAnsi="Times New Roman" w:cs="Times New Roman"/>
          <w:color w:val="000000" w:themeColor="text1"/>
          <w:sz w:val="26"/>
          <w:szCs w:val="26"/>
          <w:lang w:eastAsia="zh-TW" w:bidi="fa-IR"/>
        </w:rPr>
        <w:t xml:space="preserve">; </w:t>
      </w:r>
      <w:proofErr w:type="spellStart"/>
      <w:r w:rsidRPr="00816C6E">
        <w:rPr>
          <w:rFonts w:ascii="Times New Roman" w:hAnsi="Times New Roman" w:cs="Times New Roman"/>
          <w:color w:val="000000" w:themeColor="text1"/>
          <w:sz w:val="26"/>
          <w:szCs w:val="26"/>
          <w:lang w:bidi="fa-IR"/>
        </w:rPr>
        <w:t>Xue</w:t>
      </w:r>
      <w:proofErr w:type="spellEnd"/>
      <w:r w:rsidRPr="00816C6E">
        <w:rPr>
          <w:rFonts w:ascii="Times New Roman" w:hAnsi="Times New Roman" w:cs="Times New Roman"/>
          <w:color w:val="000000" w:themeColor="text1"/>
          <w:sz w:val="26"/>
          <w:szCs w:val="26"/>
          <w:lang w:bidi="fa-IR"/>
        </w:rPr>
        <w:t xml:space="preserve"> et al., 2020).</w:t>
      </w:r>
    </w:p>
    <w:p w14:paraId="653D82D7" w14:textId="753E1B61"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 xml:space="preserve">Brand equity is </w:t>
      </w:r>
      <w:proofErr w:type="gramStart"/>
      <w:r w:rsidRPr="00816C6E">
        <w:rPr>
          <w:rFonts w:ascii="Times New Roman" w:hAnsi="Times New Roman" w:cs="Times New Roman"/>
          <w:color w:val="000000" w:themeColor="text1"/>
          <w:sz w:val="26"/>
          <w:szCs w:val="26"/>
          <w:lang w:bidi="fa-IR"/>
        </w:rPr>
        <w:t>a valuable asset</w:t>
      </w:r>
      <w:proofErr w:type="gramEnd"/>
      <w:r w:rsidRPr="00816C6E">
        <w:rPr>
          <w:rFonts w:ascii="Times New Roman" w:hAnsi="Times New Roman" w:cs="Times New Roman"/>
          <w:color w:val="000000" w:themeColor="text1"/>
          <w:sz w:val="26"/>
          <w:szCs w:val="26"/>
          <w:lang w:bidi="fa-IR"/>
        </w:rPr>
        <w:t xml:space="preserve"> for a company’s branding strategy (</w:t>
      </w:r>
      <w:proofErr w:type="spellStart"/>
      <w:r w:rsidRPr="00816C6E">
        <w:rPr>
          <w:rFonts w:ascii="Times New Roman" w:hAnsi="Times New Roman" w:cs="Times New Roman"/>
          <w:color w:val="000000" w:themeColor="text1"/>
          <w:sz w:val="26"/>
          <w:szCs w:val="26"/>
          <w:lang w:bidi="fa-IR"/>
        </w:rPr>
        <w:t>Beig</w:t>
      </w:r>
      <w:proofErr w:type="spellEnd"/>
      <w:r w:rsidRPr="00816C6E">
        <w:rPr>
          <w:rFonts w:ascii="Times New Roman" w:hAnsi="Times New Roman" w:cs="Times New Roman"/>
          <w:color w:val="000000" w:themeColor="text1"/>
          <w:sz w:val="26"/>
          <w:szCs w:val="26"/>
          <w:lang w:bidi="fa-IR"/>
        </w:rPr>
        <w:t xml:space="preserve"> &amp; Nika, 2019; Keller &amp; </w:t>
      </w:r>
      <w:proofErr w:type="spellStart"/>
      <w:r w:rsidRPr="00816C6E">
        <w:rPr>
          <w:rFonts w:ascii="Times New Roman" w:hAnsi="Times New Roman" w:cs="Times New Roman"/>
          <w:color w:val="000000" w:themeColor="text1"/>
          <w:sz w:val="26"/>
          <w:szCs w:val="26"/>
          <w:lang w:bidi="fa-IR"/>
        </w:rPr>
        <w:t>Brexendorf</w:t>
      </w:r>
      <w:proofErr w:type="spellEnd"/>
      <w:r w:rsidRPr="00816C6E">
        <w:rPr>
          <w:rFonts w:ascii="Times New Roman" w:hAnsi="Times New Roman" w:cs="Times New Roman"/>
          <w:color w:val="000000" w:themeColor="text1"/>
          <w:sz w:val="26"/>
          <w:szCs w:val="26"/>
          <w:lang w:bidi="fa-IR"/>
        </w:rPr>
        <w:t>, 2019). Today, successful brands use a combination of online and traditional channels to build brand equity and consumer loyalty (Rochefort &amp; Ndlovu, 2024). The Internet has a significant impact on brand equity in the online environment, as more people spend time online, making it a key avenue for gaining a competitive advantage (</w:t>
      </w:r>
      <w:r w:rsidR="007E11FE" w:rsidRPr="00816C6E">
        <w:rPr>
          <w:rFonts w:ascii="Times New Roman" w:hAnsi="Times New Roman" w:cs="Times New Roman"/>
          <w:color w:val="000000" w:themeColor="text1"/>
          <w:sz w:val="26"/>
          <w:szCs w:val="26"/>
          <w:lang w:bidi="fa-IR"/>
        </w:rPr>
        <w:t>Enes et al., 2024</w:t>
      </w:r>
      <w:r w:rsidR="007E11FE">
        <w:rPr>
          <w:rFonts w:ascii="Times New Roman" w:hAnsi="Times New Roman" w:cs="Times New Roman"/>
          <w:color w:val="000000" w:themeColor="text1"/>
          <w:sz w:val="26"/>
          <w:szCs w:val="26"/>
          <w:lang w:bidi="fa-IR"/>
        </w:rPr>
        <w:t xml:space="preserve">; </w:t>
      </w:r>
      <w:r w:rsidRPr="00816C6E">
        <w:rPr>
          <w:rFonts w:ascii="Times New Roman" w:hAnsi="Times New Roman" w:cs="Times New Roman"/>
          <w:color w:val="000000" w:themeColor="text1"/>
          <w:sz w:val="26"/>
          <w:szCs w:val="26"/>
          <w:lang w:bidi="fa-IR"/>
        </w:rPr>
        <w:t>Vlachos et al., 2020). However, as an essential asset, how to measure brand equity in an online environment, what the input and output factors for this concept are, and how to involve consumers in creating high brand equity values remain difficult tasks for marketers and even academics (</w:t>
      </w:r>
      <w:proofErr w:type="spellStart"/>
      <w:r w:rsidRPr="00816C6E">
        <w:rPr>
          <w:rFonts w:ascii="Times New Roman" w:hAnsi="Times New Roman" w:cs="Times New Roman"/>
          <w:color w:val="000000" w:themeColor="text1"/>
          <w:sz w:val="26"/>
          <w:szCs w:val="26"/>
          <w:lang w:bidi="fa-IR"/>
        </w:rPr>
        <w:t>Kuvykaite</w:t>
      </w:r>
      <w:proofErr w:type="spellEnd"/>
      <w:r w:rsidRPr="00816C6E">
        <w:rPr>
          <w:rFonts w:ascii="Times New Roman" w:hAnsi="Times New Roman" w:cs="Times New Roman"/>
          <w:color w:val="000000" w:themeColor="text1"/>
          <w:sz w:val="26"/>
          <w:szCs w:val="26"/>
          <w:lang w:bidi="fa-IR"/>
        </w:rPr>
        <w:t xml:space="preserve"> &amp; </w:t>
      </w:r>
      <w:proofErr w:type="spellStart"/>
      <w:r w:rsidRPr="00816C6E">
        <w:rPr>
          <w:rFonts w:ascii="Times New Roman" w:hAnsi="Times New Roman" w:cs="Times New Roman"/>
          <w:color w:val="000000" w:themeColor="text1"/>
          <w:sz w:val="26"/>
          <w:szCs w:val="26"/>
          <w:lang w:bidi="fa-IR"/>
        </w:rPr>
        <w:t>Piligrimiene</w:t>
      </w:r>
      <w:proofErr w:type="spellEnd"/>
      <w:r w:rsidRPr="00816C6E">
        <w:rPr>
          <w:rFonts w:ascii="Times New Roman" w:hAnsi="Times New Roman" w:cs="Times New Roman"/>
          <w:color w:val="000000" w:themeColor="text1"/>
          <w:sz w:val="26"/>
          <w:szCs w:val="26"/>
          <w:lang w:bidi="fa-IR"/>
        </w:rPr>
        <w:t xml:space="preserve">, 2014; </w:t>
      </w:r>
      <w:proofErr w:type="spellStart"/>
      <w:r w:rsidRPr="00816C6E">
        <w:rPr>
          <w:rFonts w:ascii="Times New Roman" w:hAnsi="Times New Roman" w:cs="Times New Roman"/>
          <w:color w:val="000000" w:themeColor="text1"/>
          <w:sz w:val="26"/>
          <w:szCs w:val="26"/>
          <w:lang w:bidi="fa-IR"/>
        </w:rPr>
        <w:t>Troiville</w:t>
      </w:r>
      <w:proofErr w:type="spellEnd"/>
      <w:r w:rsidRPr="00816C6E">
        <w:rPr>
          <w:rFonts w:ascii="Times New Roman" w:hAnsi="Times New Roman" w:cs="Times New Roman"/>
          <w:color w:val="000000" w:themeColor="text1"/>
          <w:sz w:val="26"/>
          <w:szCs w:val="26"/>
          <w:lang w:bidi="fa-IR"/>
        </w:rPr>
        <w:t xml:space="preserve"> et al., 2019). </w:t>
      </w:r>
    </w:p>
    <w:p w14:paraId="03D16580"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As digital content becomes increasingly available, the shift in audience media consumption is significant and affects how consumers think about brand equity (</w:t>
      </w:r>
      <w:proofErr w:type="spellStart"/>
      <w:r w:rsidRPr="00816C6E">
        <w:rPr>
          <w:rFonts w:ascii="Times New Roman" w:hAnsi="Times New Roman" w:cs="Times New Roman"/>
          <w:color w:val="000000" w:themeColor="text1"/>
          <w:sz w:val="26"/>
          <w:szCs w:val="26"/>
          <w:lang w:bidi="fa-IR"/>
        </w:rPr>
        <w:t>Saulite</w:t>
      </w:r>
      <w:proofErr w:type="spellEnd"/>
      <w:r w:rsidRPr="00816C6E">
        <w:rPr>
          <w:rFonts w:ascii="Times New Roman" w:hAnsi="Times New Roman" w:cs="Times New Roman"/>
          <w:color w:val="000000" w:themeColor="text1"/>
          <w:sz w:val="26"/>
          <w:szCs w:val="26"/>
          <w:lang w:bidi="fa-IR"/>
        </w:rPr>
        <w:t>, 2022). Brands face opportunities and challenges in social interactions mediated by these internet-based channels (Steinhoff et al., 201</w:t>
      </w:r>
      <w:r w:rsidR="008F495A">
        <w:rPr>
          <w:rFonts w:ascii="Times New Roman" w:hAnsi="Times New Roman" w:cs="Times New Roman"/>
          <w:color w:val="000000" w:themeColor="text1"/>
          <w:sz w:val="26"/>
          <w:szCs w:val="26"/>
          <w:lang w:bidi="fa-IR"/>
        </w:rPr>
        <w:t>9</w:t>
      </w:r>
      <w:r w:rsidRPr="00816C6E">
        <w:rPr>
          <w:rFonts w:ascii="Times New Roman" w:hAnsi="Times New Roman" w:cs="Times New Roman"/>
          <w:color w:val="000000" w:themeColor="text1"/>
          <w:sz w:val="26"/>
          <w:szCs w:val="26"/>
          <w:lang w:bidi="fa-IR"/>
        </w:rPr>
        <w:t>) as they seek to remain consistently present and attract consumer attention. With this shift in online behavior, one way to ensure that brands are always present and appealing is through brand experience and engagement (Amin &amp; Nika, 2022). Experts consider engagement the most important Key Performance Indicator (KPI) in social media marketing. However, given the current abundance of brand engagement-based marketing activities, this study requires further investigation (</w:t>
      </w:r>
      <w:proofErr w:type="spellStart"/>
      <w:r w:rsidRPr="00816C6E">
        <w:rPr>
          <w:rFonts w:ascii="Times New Roman" w:hAnsi="Times New Roman" w:cs="Times New Roman"/>
          <w:color w:val="000000" w:themeColor="text1"/>
          <w:sz w:val="26"/>
          <w:szCs w:val="26"/>
          <w:lang w:bidi="fa-IR"/>
        </w:rPr>
        <w:t>Beig</w:t>
      </w:r>
      <w:proofErr w:type="spellEnd"/>
      <w:r w:rsidRPr="00816C6E">
        <w:rPr>
          <w:rFonts w:ascii="Times New Roman" w:hAnsi="Times New Roman" w:cs="Times New Roman"/>
          <w:color w:val="000000" w:themeColor="text1"/>
          <w:sz w:val="26"/>
          <w:szCs w:val="26"/>
          <w:lang w:bidi="fa-IR"/>
        </w:rPr>
        <w:t xml:space="preserve"> &amp; Nika, 2019). </w:t>
      </w:r>
    </w:p>
    <w:p w14:paraId="132F887D" w14:textId="448A94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Marketing success in social commerce depends on strong brand engagement and its ability to foster meaningful user interaction (</w:t>
      </w:r>
      <w:r w:rsidR="006F3455" w:rsidRPr="006F3455">
        <w:rPr>
          <w:rFonts w:ascii="Times New Roman" w:hAnsi="Times New Roman" w:cs="Times New Roman"/>
          <w:color w:val="000000" w:themeColor="text1"/>
          <w:sz w:val="26"/>
          <w:szCs w:val="26"/>
          <w:lang w:bidi="fa-IR"/>
        </w:rPr>
        <w:t>Gómez</w:t>
      </w:r>
      <w:r w:rsidRPr="00816C6E">
        <w:rPr>
          <w:rFonts w:ascii="Times New Roman" w:hAnsi="Times New Roman" w:cs="Times New Roman"/>
          <w:color w:val="000000" w:themeColor="text1"/>
          <w:sz w:val="26"/>
          <w:szCs w:val="26"/>
          <w:lang w:bidi="fa-IR"/>
        </w:rPr>
        <w:t xml:space="preserve"> et al., 2019). Brand engagement is generally expected to contribute positively to brand equity by strengthening consumers’ interactions and relationships with brands. However, empirical evidence regarding this relationship remains inconclusive. For instance, Xi and </w:t>
      </w:r>
      <w:proofErr w:type="spellStart"/>
      <w:r w:rsidRPr="00816C6E">
        <w:rPr>
          <w:rFonts w:ascii="Times New Roman" w:hAnsi="Times New Roman" w:cs="Times New Roman"/>
          <w:color w:val="000000" w:themeColor="text1"/>
          <w:sz w:val="26"/>
          <w:szCs w:val="26"/>
          <w:lang w:bidi="fa-IR"/>
        </w:rPr>
        <w:t>Hamari</w:t>
      </w:r>
      <w:proofErr w:type="spellEnd"/>
      <w:r w:rsidRPr="00816C6E">
        <w:rPr>
          <w:rFonts w:ascii="Times New Roman" w:hAnsi="Times New Roman" w:cs="Times New Roman"/>
          <w:color w:val="000000" w:themeColor="text1"/>
          <w:sz w:val="26"/>
          <w:szCs w:val="26"/>
          <w:lang w:bidi="fa-IR"/>
        </w:rPr>
        <w:t xml:space="preserve"> (2020) and </w:t>
      </w:r>
      <w:proofErr w:type="spellStart"/>
      <w:r w:rsidRPr="00816C6E">
        <w:rPr>
          <w:rFonts w:ascii="Times New Roman" w:hAnsi="Times New Roman" w:cs="Times New Roman"/>
          <w:color w:val="000000" w:themeColor="text1"/>
          <w:sz w:val="26"/>
          <w:szCs w:val="26"/>
          <w:lang w:bidi="fa-IR"/>
        </w:rPr>
        <w:t>Sohaib</w:t>
      </w:r>
      <w:proofErr w:type="spellEnd"/>
      <w:r w:rsidRPr="00816C6E">
        <w:rPr>
          <w:rFonts w:ascii="Times New Roman" w:hAnsi="Times New Roman" w:cs="Times New Roman"/>
          <w:color w:val="000000" w:themeColor="text1"/>
          <w:sz w:val="26"/>
          <w:szCs w:val="26"/>
          <w:lang w:bidi="fa-IR"/>
        </w:rPr>
        <w:t xml:space="preserve"> et al. (202</w:t>
      </w:r>
      <w:r w:rsidR="00C251D6">
        <w:rPr>
          <w:rFonts w:ascii="Times New Roman" w:hAnsi="Times New Roman" w:cs="Times New Roman"/>
          <w:color w:val="000000" w:themeColor="text1"/>
          <w:sz w:val="26"/>
          <w:szCs w:val="26"/>
          <w:lang w:bidi="fa-IR"/>
        </w:rPr>
        <w:t>3</w:t>
      </w:r>
      <w:r w:rsidRPr="00816C6E">
        <w:rPr>
          <w:rFonts w:ascii="Times New Roman" w:hAnsi="Times New Roman" w:cs="Times New Roman"/>
          <w:color w:val="000000" w:themeColor="text1"/>
          <w:sz w:val="26"/>
          <w:szCs w:val="26"/>
          <w:lang w:bidi="fa-IR"/>
        </w:rPr>
        <w:t>) found a positive relationship between brand engagement and brand equity, whereas Verma (2021) reported no significant effect in the Indian context. These inconsistent findings suggest that the relationship may depend not only on the presence of engagement itself but also on the process through which consumers’ experiences with a brand are transformed into brand-related evaluations and outcomes.</w:t>
      </w:r>
    </w:p>
    <w:p w14:paraId="2193E49A"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From a Stimulus–Organism–Response (S-O-R) perspective, brand experience can be viewed as a stimulus that generates consumers' cognitive, emotional, and behavioral engagement, thereby influencing their responses toward the brand. Brand engagement therefore represents a theoretically meaningful mechanism through which brand experience may be translated into brand equity. This mechanism is particularly relevant in social commerce, where experiential, social, and transactional interactions are integrated within a single digital environment. Nevertheless, the mediating role of brand engagement in the relationship between brand experience and brand equity remains insufficiently examined in this context. This study addresses this gap by examining the effect of brand engagement on brand equity and its role as a mediating mechanism between brand experience and brand equity.</w:t>
      </w:r>
    </w:p>
    <w:p w14:paraId="41B59C78"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In other areas, research on brand engagement and brand equity shows positive results. However, the mechanisms and mediating role of brand engagement in the context of social commerce remain to be explored, and the existing model is limited and needs further development (</w:t>
      </w:r>
      <w:proofErr w:type="spellStart"/>
      <w:r w:rsidRPr="00816C6E">
        <w:rPr>
          <w:rFonts w:ascii="Times New Roman" w:hAnsi="Times New Roman" w:cs="Times New Roman"/>
          <w:color w:val="000000" w:themeColor="text1"/>
          <w:sz w:val="26"/>
          <w:szCs w:val="26"/>
          <w:lang w:bidi="fa-IR"/>
        </w:rPr>
        <w:t>Busalim</w:t>
      </w:r>
      <w:proofErr w:type="spellEnd"/>
      <w:r w:rsidRPr="00816C6E">
        <w:rPr>
          <w:rFonts w:ascii="Times New Roman" w:hAnsi="Times New Roman" w:cs="Times New Roman"/>
          <w:color w:val="000000" w:themeColor="text1"/>
          <w:sz w:val="26"/>
          <w:szCs w:val="26"/>
          <w:lang w:bidi="fa-IR"/>
        </w:rPr>
        <w:t xml:space="preserve"> </w:t>
      </w:r>
      <w:r w:rsidR="003E1376">
        <w:rPr>
          <w:rFonts w:ascii="Times New Roman" w:hAnsi="Times New Roman" w:cs="Times New Roman"/>
          <w:color w:val="000000" w:themeColor="text1"/>
          <w:sz w:val="26"/>
          <w:szCs w:val="26"/>
          <w:lang w:bidi="fa-IR"/>
        </w:rPr>
        <w:t>et al.</w:t>
      </w:r>
      <w:r w:rsidRPr="00816C6E">
        <w:rPr>
          <w:rFonts w:ascii="Times New Roman" w:hAnsi="Times New Roman" w:cs="Times New Roman"/>
          <w:color w:val="000000" w:themeColor="text1"/>
          <w:sz w:val="26"/>
          <w:szCs w:val="26"/>
          <w:lang w:bidi="fa-IR"/>
        </w:rPr>
        <w:t>, 2021). Social commerce needs to understand the brand experience and its value (</w:t>
      </w:r>
      <w:proofErr w:type="spellStart"/>
      <w:r w:rsidRPr="00816C6E">
        <w:rPr>
          <w:rFonts w:ascii="Times New Roman" w:hAnsi="Times New Roman" w:cs="Times New Roman"/>
          <w:color w:val="000000" w:themeColor="text1"/>
          <w:sz w:val="26"/>
          <w:szCs w:val="26"/>
          <w:lang w:bidi="fa-IR"/>
        </w:rPr>
        <w:t>Rahardja</w:t>
      </w:r>
      <w:proofErr w:type="spellEnd"/>
      <w:r w:rsidRPr="00816C6E">
        <w:rPr>
          <w:rFonts w:ascii="Times New Roman" w:hAnsi="Times New Roman" w:cs="Times New Roman"/>
          <w:color w:val="000000" w:themeColor="text1"/>
          <w:sz w:val="26"/>
          <w:szCs w:val="26"/>
          <w:lang w:bidi="fa-IR"/>
        </w:rPr>
        <w:t xml:space="preserve"> et al., 2021). However, the mediating role of brand engagement in linking brand experience to brand equity remains insufficiently examined in social commerce. As social commerce gains momentum in many countries, exploring its impact on consumer behavior is beneficial, given that this remains a relatively rare area of study. Accordingly, this study </w:t>
      </w:r>
      <w:r w:rsidR="00580924" w:rsidRPr="00816C6E">
        <w:rPr>
          <w:rFonts w:ascii="Times New Roman" w:hAnsi="Times New Roman" w:cs="Times New Roman"/>
          <w:color w:val="000000" w:themeColor="text1"/>
          <w:sz w:val="26"/>
          <w:szCs w:val="26"/>
          <w:lang w:bidi="fa-IR"/>
        </w:rPr>
        <w:t>empirically examines</w:t>
      </w:r>
      <w:r w:rsidRPr="00816C6E">
        <w:rPr>
          <w:rFonts w:ascii="Times New Roman" w:hAnsi="Times New Roman" w:cs="Times New Roman"/>
          <w:color w:val="000000" w:themeColor="text1"/>
          <w:sz w:val="26"/>
          <w:szCs w:val="26"/>
          <w:lang w:bidi="fa-IR"/>
        </w:rPr>
        <w:t xml:space="preserve"> how brand experience and brand engagement influence brand equity, and whether brand engagement mediates the relationship between brand experience and brand equity in the context of social commerce.</w:t>
      </w:r>
    </w:p>
    <w:p w14:paraId="6F408E18" w14:textId="5175CDF6"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This study aims to investigate how brand engagement mediates the relationship between brand experience and brand equity in social commerce, which has received little attention from other researchers, and very few studies have focused on this construct in emerging markets (</w:t>
      </w:r>
      <w:r w:rsidR="007E11FE" w:rsidRPr="00816C6E">
        <w:rPr>
          <w:rFonts w:ascii="Times New Roman" w:hAnsi="Times New Roman" w:cs="Times New Roman"/>
          <w:color w:val="000000" w:themeColor="text1"/>
          <w:sz w:val="26"/>
          <w:szCs w:val="26"/>
          <w:lang w:bidi="fa-IR"/>
        </w:rPr>
        <w:t>Molinillo et al., 2020;</w:t>
      </w:r>
      <w:r w:rsidR="00CC235E">
        <w:rPr>
          <w:rFonts w:ascii="Times New Roman" w:hAnsi="Times New Roman" w:cs="Times New Roman"/>
          <w:color w:val="000000" w:themeColor="text1"/>
          <w:sz w:val="26"/>
          <w:szCs w:val="26"/>
          <w:lang w:bidi="fa-IR"/>
        </w:rPr>
        <w:t xml:space="preserve"> </w:t>
      </w:r>
      <w:r w:rsidR="007E11FE" w:rsidRPr="00816C6E">
        <w:rPr>
          <w:rFonts w:ascii="Times New Roman" w:hAnsi="Times New Roman" w:cs="Times New Roman"/>
          <w:color w:val="000000" w:themeColor="text1"/>
          <w:sz w:val="26"/>
          <w:szCs w:val="26"/>
          <w:lang w:bidi="fa-IR"/>
        </w:rPr>
        <w:t xml:space="preserve">Vohra </w:t>
      </w:r>
      <w:r w:rsidR="007E11FE" w:rsidRPr="003E1376">
        <w:rPr>
          <w:rFonts w:ascii="Times New Roman" w:hAnsi="Times New Roman" w:cs="Times New Roman"/>
          <w:color w:val="000000" w:themeColor="text1"/>
          <w:sz w:val="26"/>
          <w:szCs w:val="26"/>
          <w:lang w:bidi="fa-IR"/>
        </w:rPr>
        <w:t>&amp; Bhardwaj</w:t>
      </w:r>
      <w:r w:rsidR="007E11FE" w:rsidRPr="00816C6E">
        <w:rPr>
          <w:rFonts w:ascii="Times New Roman" w:hAnsi="Times New Roman" w:cs="Times New Roman"/>
          <w:color w:val="000000" w:themeColor="text1"/>
          <w:sz w:val="26"/>
          <w:szCs w:val="26"/>
          <w:lang w:bidi="fa-IR"/>
        </w:rPr>
        <w:t>, 2019</w:t>
      </w:r>
      <w:r w:rsidR="007E11FE">
        <w:rPr>
          <w:rFonts w:ascii="Times New Roman" w:hAnsi="Times New Roman" w:cs="Times New Roman"/>
          <w:color w:val="000000" w:themeColor="text1"/>
          <w:sz w:val="26"/>
          <w:szCs w:val="26"/>
          <w:lang w:bidi="fa-IR"/>
        </w:rPr>
        <w:t>;</w:t>
      </w:r>
      <w:r w:rsidR="007E11FE" w:rsidRPr="00816C6E">
        <w:rPr>
          <w:rFonts w:ascii="Times New Roman" w:hAnsi="Times New Roman" w:cs="Times New Roman"/>
          <w:color w:val="000000" w:themeColor="text1"/>
          <w:sz w:val="26"/>
          <w:szCs w:val="26"/>
          <w:lang w:bidi="fa-IR"/>
        </w:rPr>
        <w:t xml:space="preserve"> </w:t>
      </w:r>
      <w:r w:rsidRPr="00816C6E">
        <w:rPr>
          <w:rFonts w:ascii="Times New Roman" w:hAnsi="Times New Roman" w:cs="Times New Roman"/>
          <w:color w:val="000000" w:themeColor="text1"/>
          <w:sz w:val="26"/>
          <w:szCs w:val="26"/>
          <w:lang w:bidi="fa-IR"/>
        </w:rPr>
        <w:t xml:space="preserve">Wang &amp; </w:t>
      </w:r>
      <w:proofErr w:type="spellStart"/>
      <w:r w:rsidRPr="00816C6E">
        <w:rPr>
          <w:rFonts w:ascii="Times New Roman" w:hAnsi="Times New Roman" w:cs="Times New Roman"/>
          <w:color w:val="000000" w:themeColor="text1"/>
          <w:sz w:val="26"/>
          <w:szCs w:val="26"/>
          <w:lang w:bidi="fa-IR"/>
        </w:rPr>
        <w:t>Xie</w:t>
      </w:r>
      <w:proofErr w:type="spellEnd"/>
      <w:r w:rsidRPr="00816C6E">
        <w:rPr>
          <w:rFonts w:ascii="Times New Roman" w:hAnsi="Times New Roman" w:cs="Times New Roman"/>
          <w:color w:val="000000" w:themeColor="text1"/>
          <w:sz w:val="26"/>
          <w:szCs w:val="26"/>
          <w:lang w:bidi="fa-IR"/>
        </w:rPr>
        <w:t xml:space="preserve">, 2020). The contribution of this research lies in the empirical integration of these constructs into a single structural model in the context of social commerce to reveal how experiential, cognitive, and behavioral processes interact within the social commerce ecosystem, a theoretical study that remains lacking. </w:t>
      </w:r>
    </w:p>
    <w:p w14:paraId="1A981B25" w14:textId="77777777" w:rsidR="0057675D"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The remainder of this paper is structured as follows: it reviews the relevant literature and develops hypotheses in section 2; outlines the research methodology in section 3; presents the results and discussion in section 4; and concludes with limitations and recommendations for future research in section 5.</w:t>
      </w:r>
    </w:p>
    <w:p w14:paraId="03E63A93" w14:textId="0E36F87D" w:rsidR="00ED4759" w:rsidRPr="00816C6E" w:rsidRDefault="00D94758" w:rsidP="009B1458">
      <w:pPr>
        <w:snapToGrid w:val="0"/>
        <w:spacing w:after="0" w:line="360" w:lineRule="exact"/>
        <w:jc w:val="center"/>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t>LITERATURE REVIEW</w:t>
      </w:r>
    </w:p>
    <w:p w14:paraId="3261C83C" w14:textId="77777777" w:rsidR="00ED4759" w:rsidRPr="00816C6E" w:rsidRDefault="00D94758" w:rsidP="00ED4759">
      <w:pPr>
        <w:spacing w:after="0" w:line="360" w:lineRule="exact"/>
        <w:jc w:val="lowKashida"/>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t>Stimulus-Organism-Response Model</w:t>
      </w:r>
    </w:p>
    <w:p w14:paraId="6C4B6D6D" w14:textId="77777777" w:rsidR="00ED4759" w:rsidRPr="00816C6E" w:rsidRDefault="00D94758" w:rsidP="009B1458">
      <w:pPr>
        <w:overflowPunct w:val="0"/>
        <w:snapToGrid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 xml:space="preserve">This study adopts the Stimulus–Organism–Response (S-O-R) framework to explain the relationships among brand experience, brand engagement, and brand equity. Within this framework, brand experience is positioned as the stimulus (S), as consumers develop sensory, affective, behavioral, and intellectual experiences through their interactions with a brand. Brand engagement represents the organism (O), reflecting consumers’ cognitive, emotional, and behavioral involvement that emerges from these experiences. Brand equity serves as the response (R), representing consumers’ evaluations, associations, and perceptions of the brand (Aaker, 1992; Keller &amp; </w:t>
      </w:r>
      <w:proofErr w:type="spellStart"/>
      <w:r w:rsidRPr="00816C6E">
        <w:rPr>
          <w:rFonts w:ascii="Times New Roman" w:hAnsi="Times New Roman" w:cs="Times New Roman"/>
          <w:color w:val="000000" w:themeColor="text1"/>
          <w:sz w:val="26"/>
          <w:szCs w:val="26"/>
          <w:lang w:bidi="fa-IR"/>
        </w:rPr>
        <w:t>Brexendorf</w:t>
      </w:r>
      <w:proofErr w:type="spellEnd"/>
      <w:r w:rsidRPr="00816C6E">
        <w:rPr>
          <w:rFonts w:ascii="Times New Roman" w:hAnsi="Times New Roman" w:cs="Times New Roman"/>
          <w:color w:val="000000" w:themeColor="text1"/>
          <w:sz w:val="26"/>
          <w:szCs w:val="26"/>
          <w:lang w:bidi="fa-IR"/>
        </w:rPr>
        <w:t xml:space="preserve">, 2019). </w:t>
      </w:r>
    </w:p>
    <w:p w14:paraId="24B1E151" w14:textId="77777777" w:rsidR="00ED4759" w:rsidRPr="00816C6E" w:rsidRDefault="00D94758" w:rsidP="001D563D">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The S-O-R framework provides the theoretical basis for proposing that brand engagement mediates the relationship between brand experience and brand equity. Positive brand experiences can stimulate consumers to become more cognitively, emotionally, and behaviorally engaged with a brand. At the same time, stronger engagement can strengthen brand-related evaluations and contribute to higher brand equity. Thus, the effect of brand experience on brand equity is expected to occur both directly and indirectly through brand engagement. This mechanism is particularly relevant in social commerce, where brand interactions, social participation, and commercial activities are integrated into a single digital environment, making engagement a key channel through which consumer experiences translate into brand-related outcomes.</w:t>
      </w:r>
    </w:p>
    <w:p w14:paraId="571D977F" w14:textId="77777777" w:rsidR="00ED4759" w:rsidRPr="00816C6E" w:rsidRDefault="00ED4759" w:rsidP="00ED4759">
      <w:pPr>
        <w:spacing w:after="0" w:line="360" w:lineRule="exact"/>
        <w:jc w:val="lowKashida"/>
        <w:rPr>
          <w:rFonts w:ascii="Times New Roman" w:hAnsi="Times New Roman" w:cs="Times New Roman"/>
          <w:color w:val="000000" w:themeColor="text1"/>
          <w:sz w:val="26"/>
          <w:szCs w:val="26"/>
          <w:lang w:bidi="fa-IR"/>
        </w:rPr>
      </w:pPr>
    </w:p>
    <w:p w14:paraId="2549D062" w14:textId="77777777" w:rsidR="00ED4759" w:rsidRPr="00816C6E" w:rsidRDefault="00D94758" w:rsidP="00ED4759">
      <w:pPr>
        <w:spacing w:after="0" w:line="360" w:lineRule="exact"/>
        <w:jc w:val="lowKashida"/>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t>Brand Experience and Brand Equity in Social Commerce Context</w:t>
      </w:r>
    </w:p>
    <w:p w14:paraId="1BCC1300" w14:textId="23C6F659"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roofErr w:type="spellStart"/>
      <w:r w:rsidRPr="00816C6E">
        <w:rPr>
          <w:rFonts w:ascii="Times New Roman" w:hAnsi="Times New Roman" w:cs="Times New Roman"/>
          <w:color w:val="000000" w:themeColor="text1"/>
          <w:sz w:val="26"/>
          <w:szCs w:val="26"/>
          <w:lang w:bidi="fa-IR"/>
        </w:rPr>
        <w:t>Brakus</w:t>
      </w:r>
      <w:proofErr w:type="spellEnd"/>
      <w:r w:rsidRPr="00816C6E">
        <w:rPr>
          <w:rFonts w:ascii="Times New Roman" w:hAnsi="Times New Roman" w:cs="Times New Roman"/>
          <w:color w:val="000000" w:themeColor="text1"/>
          <w:sz w:val="26"/>
          <w:szCs w:val="26"/>
          <w:lang w:bidi="fa-IR"/>
        </w:rPr>
        <w:t xml:space="preserve"> et al. (2009) define brand experience as the sensations, feelings, cognitions, and behavioral responses evoked by brand-related stimuli, including a brand’s design, identity, packaging, communications, and environments. The concept from </w:t>
      </w:r>
      <w:proofErr w:type="spellStart"/>
      <w:r w:rsidRPr="00816C6E">
        <w:rPr>
          <w:rFonts w:ascii="Times New Roman" w:hAnsi="Times New Roman" w:cs="Times New Roman"/>
          <w:color w:val="000000" w:themeColor="text1"/>
          <w:sz w:val="26"/>
          <w:szCs w:val="26"/>
          <w:lang w:bidi="fa-IR"/>
        </w:rPr>
        <w:t>Brakus</w:t>
      </w:r>
      <w:proofErr w:type="spellEnd"/>
      <w:r w:rsidRPr="00816C6E">
        <w:rPr>
          <w:rFonts w:ascii="Times New Roman" w:hAnsi="Times New Roman" w:cs="Times New Roman"/>
          <w:color w:val="000000" w:themeColor="text1"/>
          <w:sz w:val="26"/>
          <w:szCs w:val="26"/>
          <w:lang w:bidi="fa-IR"/>
        </w:rPr>
        <w:t xml:space="preserve"> has been the most widely used construct in several studies. Brand experience can lead to brand loyalty with various mediating variables (Na et al., 2023). Consumer </w:t>
      </w:r>
      <w:r w:rsidR="008F495A">
        <w:rPr>
          <w:rFonts w:ascii="Times New Roman" w:hAnsi="Times New Roman" w:cs="Times New Roman"/>
          <w:color w:val="000000" w:themeColor="text1"/>
          <w:sz w:val="26"/>
          <w:szCs w:val="26"/>
          <w:lang w:bidi="fa-IR"/>
        </w:rPr>
        <w:t>satisfaction</w:t>
      </w:r>
      <w:r w:rsidR="008F495A" w:rsidRPr="00816C6E">
        <w:rPr>
          <w:rFonts w:ascii="Times New Roman" w:hAnsi="Times New Roman" w:cs="Times New Roman"/>
          <w:color w:val="000000" w:themeColor="text1"/>
          <w:sz w:val="26"/>
          <w:szCs w:val="26"/>
          <w:lang w:bidi="fa-IR"/>
        </w:rPr>
        <w:t xml:space="preserve"> </w:t>
      </w:r>
      <w:r w:rsidRPr="00816C6E">
        <w:rPr>
          <w:rFonts w:ascii="Times New Roman" w:hAnsi="Times New Roman" w:cs="Times New Roman"/>
          <w:color w:val="000000" w:themeColor="text1"/>
          <w:sz w:val="26"/>
          <w:szCs w:val="26"/>
          <w:lang w:bidi="fa-IR"/>
        </w:rPr>
        <w:t>will be influenced by the brand experience stored in their minds over time (</w:t>
      </w:r>
      <w:proofErr w:type="spellStart"/>
      <w:r w:rsidR="008D042F" w:rsidRPr="008D042F">
        <w:rPr>
          <w:rFonts w:ascii="Times New Roman" w:hAnsi="Times New Roman" w:cs="Times New Roman"/>
          <w:color w:val="000000" w:themeColor="text1"/>
          <w:sz w:val="26"/>
          <w:szCs w:val="26"/>
          <w:lang w:bidi="fa-IR"/>
        </w:rPr>
        <w:t>Yunpeng</w:t>
      </w:r>
      <w:proofErr w:type="spellEnd"/>
      <w:r w:rsidRPr="00816C6E">
        <w:rPr>
          <w:rFonts w:ascii="Times New Roman" w:hAnsi="Times New Roman" w:cs="Times New Roman"/>
          <w:color w:val="000000" w:themeColor="text1"/>
          <w:sz w:val="26"/>
          <w:szCs w:val="26"/>
          <w:lang w:bidi="fa-IR"/>
        </w:rPr>
        <w:t xml:space="preserve"> &amp; Khan, 202</w:t>
      </w:r>
      <w:r w:rsidR="001F7877">
        <w:rPr>
          <w:rFonts w:ascii="Times New Roman" w:hAnsi="Times New Roman" w:cs="Times New Roman"/>
          <w:color w:val="000000" w:themeColor="text1"/>
          <w:sz w:val="26"/>
          <w:szCs w:val="26"/>
          <w:lang w:bidi="fa-IR"/>
        </w:rPr>
        <w:t>3</w:t>
      </w:r>
      <w:r w:rsidRPr="00816C6E">
        <w:rPr>
          <w:rFonts w:ascii="Times New Roman" w:hAnsi="Times New Roman" w:cs="Times New Roman"/>
          <w:color w:val="000000" w:themeColor="text1"/>
          <w:sz w:val="26"/>
          <w:szCs w:val="26"/>
          <w:lang w:bidi="fa-IR"/>
        </w:rPr>
        <w:t>). In the online context, consumer experience also contributes to customer satisfaction, which is a strong predictor of loyalty (</w:t>
      </w:r>
      <w:proofErr w:type="spellStart"/>
      <w:r w:rsidRPr="00816C6E">
        <w:rPr>
          <w:rFonts w:ascii="Times New Roman" w:hAnsi="Times New Roman" w:cs="Times New Roman"/>
          <w:color w:val="000000" w:themeColor="text1"/>
          <w:sz w:val="26"/>
          <w:szCs w:val="26"/>
          <w:lang w:bidi="fa-IR"/>
        </w:rPr>
        <w:t>Alam</w:t>
      </w:r>
      <w:proofErr w:type="spellEnd"/>
      <w:r w:rsidRPr="00816C6E">
        <w:rPr>
          <w:rFonts w:ascii="Times New Roman" w:hAnsi="Times New Roman" w:cs="Times New Roman"/>
          <w:color w:val="000000" w:themeColor="text1"/>
          <w:sz w:val="26"/>
          <w:szCs w:val="26"/>
          <w:lang w:bidi="fa-IR"/>
        </w:rPr>
        <w:t xml:space="preserve"> et al., 2025). When consumers begin looking for products, buying them, receiving services, and consuming them, a brand experience begins (</w:t>
      </w:r>
      <w:proofErr w:type="spellStart"/>
      <w:r w:rsidRPr="00816C6E">
        <w:rPr>
          <w:rFonts w:ascii="Times New Roman" w:hAnsi="Times New Roman" w:cs="Times New Roman"/>
          <w:color w:val="000000" w:themeColor="text1"/>
          <w:sz w:val="26"/>
          <w:szCs w:val="26"/>
          <w:lang w:bidi="fa-IR"/>
        </w:rPr>
        <w:t>Brakus</w:t>
      </w:r>
      <w:proofErr w:type="spellEnd"/>
      <w:r w:rsidRPr="00816C6E">
        <w:rPr>
          <w:rFonts w:ascii="Times New Roman" w:hAnsi="Times New Roman" w:cs="Times New Roman"/>
          <w:color w:val="000000" w:themeColor="text1"/>
          <w:sz w:val="26"/>
          <w:szCs w:val="26"/>
          <w:lang w:bidi="fa-IR"/>
        </w:rPr>
        <w:t xml:space="preserve"> et al., 2009). When consumers see advertisements or company marketers promoting their products or services on the website, they can experience the brand directly or indirectly. </w:t>
      </w:r>
    </w:p>
    <w:p w14:paraId="7F01A0D7" w14:textId="77777777" w:rsidR="00ED4759" w:rsidRPr="00816C6E" w:rsidRDefault="00D94758" w:rsidP="00ED4759">
      <w:pPr>
        <w:spacing w:after="0" w:line="360" w:lineRule="exact"/>
        <w:jc w:val="lowKashida"/>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 xml:space="preserve">Several researchers have conducted empirical research on the impact of brand experience on brand equity. </w:t>
      </w:r>
      <w:proofErr w:type="spellStart"/>
      <w:r w:rsidRPr="00816C6E">
        <w:rPr>
          <w:rFonts w:ascii="Times New Roman" w:hAnsi="Times New Roman" w:cs="Times New Roman"/>
          <w:color w:val="000000" w:themeColor="text1"/>
          <w:sz w:val="26"/>
          <w:szCs w:val="26"/>
          <w:lang w:bidi="fa-IR"/>
        </w:rPr>
        <w:t>Beig</w:t>
      </w:r>
      <w:proofErr w:type="spellEnd"/>
      <w:r w:rsidRPr="00816C6E">
        <w:rPr>
          <w:rFonts w:ascii="Times New Roman" w:hAnsi="Times New Roman" w:cs="Times New Roman"/>
          <w:color w:val="000000" w:themeColor="text1"/>
          <w:sz w:val="26"/>
          <w:szCs w:val="26"/>
          <w:lang w:bidi="fa-IR"/>
        </w:rPr>
        <w:t xml:space="preserve"> and Nika (2019) investigated how brand experience influences brand equity. </w:t>
      </w:r>
      <w:proofErr w:type="spellStart"/>
      <w:r w:rsidRPr="00816C6E">
        <w:rPr>
          <w:rFonts w:ascii="Times New Roman" w:hAnsi="Times New Roman" w:cs="Times New Roman"/>
          <w:color w:val="000000" w:themeColor="text1"/>
          <w:sz w:val="26"/>
          <w:szCs w:val="26"/>
          <w:lang w:bidi="fa-IR"/>
        </w:rPr>
        <w:t>Beig</w:t>
      </w:r>
      <w:proofErr w:type="spellEnd"/>
      <w:r w:rsidRPr="00816C6E">
        <w:rPr>
          <w:rFonts w:ascii="Times New Roman" w:hAnsi="Times New Roman" w:cs="Times New Roman"/>
          <w:color w:val="000000" w:themeColor="text1"/>
          <w:sz w:val="26"/>
          <w:szCs w:val="26"/>
          <w:lang w:bidi="fa-IR"/>
        </w:rPr>
        <w:t xml:space="preserve"> and Nika (2019) found that brand equity is influenced by brand experience in Jammu and Kashmir, India. Based on surveys of electronic product consumers in Vietnam, Sang and </w:t>
      </w:r>
      <w:proofErr w:type="spellStart"/>
      <w:r w:rsidRPr="00816C6E">
        <w:rPr>
          <w:rFonts w:ascii="Times New Roman" w:hAnsi="Times New Roman" w:cs="Times New Roman"/>
          <w:color w:val="000000" w:themeColor="text1"/>
          <w:sz w:val="26"/>
          <w:szCs w:val="26"/>
          <w:lang w:bidi="fa-IR"/>
        </w:rPr>
        <w:t>Cuong</w:t>
      </w:r>
      <w:proofErr w:type="spellEnd"/>
      <w:r w:rsidRPr="00816C6E">
        <w:rPr>
          <w:rFonts w:ascii="Times New Roman" w:hAnsi="Times New Roman" w:cs="Times New Roman"/>
          <w:color w:val="000000" w:themeColor="text1"/>
          <w:sz w:val="26"/>
          <w:szCs w:val="26"/>
          <w:lang w:bidi="fa-IR"/>
        </w:rPr>
        <w:t xml:space="preserve"> (202</w:t>
      </w:r>
      <w:r w:rsidR="00C251D6">
        <w:rPr>
          <w:rFonts w:ascii="Times New Roman" w:hAnsi="Times New Roman" w:cs="Times New Roman"/>
          <w:color w:val="000000" w:themeColor="text1"/>
          <w:sz w:val="26"/>
          <w:szCs w:val="26"/>
          <w:lang w:bidi="fa-IR"/>
        </w:rPr>
        <w:t>5</w:t>
      </w:r>
      <w:r w:rsidRPr="00816C6E">
        <w:rPr>
          <w:rFonts w:ascii="Times New Roman" w:hAnsi="Times New Roman" w:cs="Times New Roman"/>
          <w:color w:val="000000" w:themeColor="text1"/>
          <w:sz w:val="26"/>
          <w:szCs w:val="26"/>
          <w:lang w:bidi="fa-IR"/>
        </w:rPr>
        <w:t xml:space="preserve">) discovered that brand experience influences the dimensions of brand equity, including brand association, perceived quality, and brand loyalty. In South Korea, brand experience has also been shown to affect the dimensions of brand equity, namely brand awareness, association/image, perceived quality, and grocery consumer brand loyalty (Jeon &amp; </w:t>
      </w:r>
      <w:proofErr w:type="spellStart"/>
      <w:r w:rsidRPr="00816C6E">
        <w:rPr>
          <w:rFonts w:ascii="Times New Roman" w:hAnsi="Times New Roman" w:cs="Times New Roman"/>
          <w:color w:val="000000" w:themeColor="text1"/>
          <w:sz w:val="26"/>
          <w:szCs w:val="26"/>
          <w:lang w:bidi="fa-IR"/>
        </w:rPr>
        <w:t>Yoo</w:t>
      </w:r>
      <w:proofErr w:type="spellEnd"/>
      <w:r w:rsidRPr="00816C6E">
        <w:rPr>
          <w:rFonts w:ascii="Times New Roman" w:hAnsi="Times New Roman" w:cs="Times New Roman"/>
          <w:color w:val="000000" w:themeColor="text1"/>
          <w:sz w:val="26"/>
          <w:szCs w:val="26"/>
          <w:lang w:bidi="fa-IR"/>
        </w:rPr>
        <w:t xml:space="preserve">, 2021). </w:t>
      </w:r>
    </w:p>
    <w:p w14:paraId="7C8460FF" w14:textId="77777777" w:rsidR="00ED4759"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These studies have demonstrated how brand experience affects brand equity and its dimensions in a variety of countries. These findings indicate that brand experience generally contributes positively to brand equity across different market contexts, including its key dimensions such as brand awareness, brand association, perceived quality, and brand loyalty. However, a survey by Iglesias et al. (2019) in Spain found that the sensory experience dimension did not affect brand equity. There are still conflicting findings regarding the impact of brand experience and its dimensions on brand equity, which merit further investigation. The first hypothesis proposed based on this description is:</w:t>
      </w:r>
    </w:p>
    <w:p w14:paraId="7D8A1171" w14:textId="77777777" w:rsidR="001D563D" w:rsidRPr="00816C6E" w:rsidRDefault="001D563D"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34CC112A" w14:textId="77777777" w:rsidR="00ED4759" w:rsidRPr="00816C6E" w:rsidRDefault="00D94758" w:rsidP="009B1458">
      <w:pPr>
        <w:spacing w:after="0" w:line="360" w:lineRule="exact"/>
        <w:ind w:left="567" w:hangingChars="218" w:hanging="567"/>
        <w:jc w:val="lowKashida"/>
        <w:rPr>
          <w:rFonts w:ascii="Times New Roman" w:hAnsi="Times New Roman" w:cs="Times New Roman"/>
          <w:color w:val="000000" w:themeColor="text1"/>
          <w:sz w:val="26"/>
          <w:szCs w:val="26"/>
          <w:lang w:bidi="fa-IR"/>
        </w:rPr>
      </w:pPr>
      <w:r w:rsidRPr="009B1458">
        <w:rPr>
          <w:rFonts w:ascii="Times New Roman" w:hAnsi="Times New Roman" w:cs="Times New Roman"/>
          <w:b/>
          <w:bCs/>
          <w:color w:val="000000" w:themeColor="text1"/>
          <w:sz w:val="26"/>
          <w:szCs w:val="26"/>
          <w:lang w:bidi="fa-IR"/>
        </w:rPr>
        <w:t>H1:</w:t>
      </w:r>
      <w:r w:rsidRPr="00816C6E">
        <w:rPr>
          <w:rFonts w:ascii="Times New Roman" w:hAnsi="Times New Roman" w:cs="Times New Roman"/>
          <w:color w:val="000000" w:themeColor="text1"/>
          <w:sz w:val="26"/>
          <w:szCs w:val="26"/>
          <w:lang w:bidi="fa-IR"/>
        </w:rPr>
        <w:t xml:space="preserve"> Brand experiences have a significant effect on brand equity among social commerce users.</w:t>
      </w:r>
    </w:p>
    <w:p w14:paraId="13BB4E81" w14:textId="77777777" w:rsidR="00ED4759" w:rsidRPr="00816C6E" w:rsidRDefault="00ED4759" w:rsidP="00ED4759">
      <w:pPr>
        <w:spacing w:after="0" w:line="360" w:lineRule="exact"/>
        <w:jc w:val="lowKashida"/>
        <w:rPr>
          <w:rFonts w:ascii="Times New Roman" w:hAnsi="Times New Roman" w:cs="Times New Roman"/>
          <w:color w:val="000000" w:themeColor="text1"/>
          <w:sz w:val="26"/>
          <w:szCs w:val="26"/>
          <w:lang w:bidi="fa-IR"/>
        </w:rPr>
      </w:pPr>
    </w:p>
    <w:p w14:paraId="13BF60F7" w14:textId="77777777" w:rsidR="00ED4759" w:rsidRPr="00816C6E" w:rsidRDefault="00D94758" w:rsidP="00ED4759">
      <w:pPr>
        <w:spacing w:after="0" w:line="360" w:lineRule="exact"/>
        <w:jc w:val="lowKashida"/>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t>Brand Experience and Brand Engagement in Social Commerce Context</w:t>
      </w:r>
    </w:p>
    <w:p w14:paraId="2FF79CC1"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 xml:space="preserve">Brand engagement refers to a psychological state and process that encourages customers to develop stronger relationships with a brand and, ultimately, loyalty (Brodie et al., 2011). It can also generate non-financial value for companies through consumers’ active involvement with their products or services. Previous research has examined the relationship between brand experience and consumer engagement. </w:t>
      </w:r>
      <w:proofErr w:type="spellStart"/>
      <w:r w:rsidRPr="00816C6E">
        <w:rPr>
          <w:rFonts w:ascii="Times New Roman" w:hAnsi="Times New Roman" w:cs="Times New Roman"/>
          <w:color w:val="000000" w:themeColor="text1"/>
          <w:sz w:val="26"/>
          <w:szCs w:val="26"/>
          <w:lang w:bidi="fa-IR"/>
        </w:rPr>
        <w:t>Tafesse</w:t>
      </w:r>
      <w:proofErr w:type="spellEnd"/>
      <w:r w:rsidRPr="00816C6E">
        <w:rPr>
          <w:rFonts w:ascii="Times New Roman" w:hAnsi="Times New Roman" w:cs="Times New Roman"/>
          <w:color w:val="000000" w:themeColor="text1"/>
          <w:sz w:val="26"/>
          <w:szCs w:val="26"/>
          <w:lang w:bidi="fa-IR"/>
        </w:rPr>
        <w:t xml:space="preserve"> (2016), for example, found that perceptual, epistemic, social, and embodied brand experiences influence consumer engagement.</w:t>
      </w:r>
    </w:p>
    <w:p w14:paraId="4945545B" w14:textId="77777777" w:rsidR="00ED4759"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D85009">
        <w:rPr>
          <w:rFonts w:ascii="Times New Roman" w:hAnsi="Times New Roman" w:cs="Times New Roman"/>
          <w:color w:val="000000" w:themeColor="text1"/>
          <w:sz w:val="26"/>
          <w:szCs w:val="26"/>
          <w:lang w:bidi="fa-IR"/>
        </w:rPr>
        <w:t>Other studies have reported varying findings regarding the relationship between brand experience and brand engagement. Mary</w:t>
      </w:r>
      <w:r w:rsidR="003E1376">
        <w:rPr>
          <w:rFonts w:ascii="Times New Roman" w:hAnsi="Times New Roman" w:cs="Times New Roman"/>
          <w:color w:val="000000" w:themeColor="text1"/>
          <w:sz w:val="26"/>
          <w:szCs w:val="26"/>
          <w:lang w:bidi="fa-IR"/>
        </w:rPr>
        <w:t xml:space="preserve"> </w:t>
      </w:r>
      <w:proofErr w:type="spellStart"/>
      <w:r w:rsidRPr="00D85009">
        <w:rPr>
          <w:rFonts w:ascii="Times New Roman" w:hAnsi="Times New Roman" w:cs="Times New Roman"/>
          <w:color w:val="000000" w:themeColor="text1"/>
          <w:sz w:val="26"/>
          <w:szCs w:val="26"/>
          <w:lang w:bidi="fa-IR"/>
        </w:rPr>
        <w:t>Metilda</w:t>
      </w:r>
      <w:proofErr w:type="spellEnd"/>
      <w:r w:rsidRPr="00D85009">
        <w:rPr>
          <w:rFonts w:ascii="Times New Roman" w:hAnsi="Times New Roman" w:cs="Times New Roman"/>
          <w:color w:val="000000" w:themeColor="text1"/>
          <w:sz w:val="26"/>
          <w:szCs w:val="26"/>
          <w:lang w:bidi="fa-IR"/>
        </w:rPr>
        <w:t xml:space="preserve"> and Grace Antony</w:t>
      </w:r>
      <w:r w:rsidR="00DC5618">
        <w:rPr>
          <w:rFonts w:ascii="Times New Roman" w:hAnsi="Times New Roman" w:cs="Times New Roman"/>
          <w:color w:val="000000" w:themeColor="text1"/>
          <w:sz w:val="26"/>
          <w:szCs w:val="26"/>
          <w:lang w:bidi="fa-IR"/>
        </w:rPr>
        <w:t xml:space="preserve"> </w:t>
      </w:r>
      <w:r w:rsidRPr="00D85009">
        <w:rPr>
          <w:rFonts w:ascii="Times New Roman" w:hAnsi="Times New Roman" w:cs="Times New Roman"/>
          <w:color w:val="000000" w:themeColor="text1"/>
          <w:sz w:val="26"/>
          <w:szCs w:val="26"/>
          <w:lang w:bidi="fa-IR"/>
        </w:rPr>
        <w:t xml:space="preserve">Rose (2021) found that the affective and cognitive dimensions of brand engagement did not significantly influence online brand experience. In contrast, the activation dimension had a significant effect among consumers in Chennai, India. In contrast, </w:t>
      </w:r>
      <w:proofErr w:type="gramStart"/>
      <w:r w:rsidRPr="00D85009">
        <w:rPr>
          <w:rFonts w:ascii="Times New Roman" w:hAnsi="Times New Roman" w:cs="Times New Roman"/>
          <w:color w:val="000000" w:themeColor="text1"/>
          <w:sz w:val="26"/>
          <w:szCs w:val="26"/>
          <w:lang w:bidi="fa-IR"/>
        </w:rPr>
        <w:t>Rather</w:t>
      </w:r>
      <w:proofErr w:type="gramEnd"/>
      <w:r w:rsidRPr="00D85009">
        <w:rPr>
          <w:rFonts w:ascii="Times New Roman" w:hAnsi="Times New Roman" w:cs="Times New Roman"/>
          <w:color w:val="000000" w:themeColor="text1"/>
          <w:sz w:val="26"/>
          <w:szCs w:val="26"/>
          <w:lang w:bidi="fa-IR"/>
        </w:rPr>
        <w:t xml:space="preserve"> et al. (2024) reported a positive relationship between consumer brand engagement and brand experience among luxury hotel consumers. Evidence from Farhat </w:t>
      </w:r>
      <w:r w:rsidR="006F3455">
        <w:rPr>
          <w:rFonts w:ascii="Times New Roman" w:hAnsi="Times New Roman" w:cs="Times New Roman"/>
          <w:color w:val="000000" w:themeColor="text1"/>
          <w:sz w:val="26"/>
          <w:szCs w:val="26"/>
          <w:lang w:bidi="fa-IR"/>
        </w:rPr>
        <w:t xml:space="preserve">et al. </w:t>
      </w:r>
      <w:r w:rsidRPr="00D85009">
        <w:rPr>
          <w:rFonts w:ascii="Times New Roman" w:hAnsi="Times New Roman" w:cs="Times New Roman"/>
          <w:color w:val="000000" w:themeColor="text1"/>
          <w:sz w:val="26"/>
          <w:szCs w:val="26"/>
          <w:lang w:bidi="fa-IR"/>
        </w:rPr>
        <w:t>(2020) showed no significant effect of brand experience on brand engagement among students in Pakistani public and private schools, while Waqas (2022) found a positive effect of brand</w:t>
      </w:r>
      <w:r w:rsidRPr="00816C6E">
        <w:rPr>
          <w:rFonts w:ascii="Times New Roman" w:hAnsi="Times New Roman" w:cs="Times New Roman"/>
          <w:color w:val="000000" w:themeColor="text1"/>
          <w:sz w:val="26"/>
          <w:szCs w:val="26"/>
          <w:lang w:bidi="fa-IR"/>
        </w:rPr>
        <w:t xml:space="preserve"> </w:t>
      </w:r>
      <w:r w:rsidRPr="00D85009">
        <w:rPr>
          <w:rFonts w:ascii="Times New Roman" w:hAnsi="Times New Roman" w:cs="Times New Roman"/>
          <w:color w:val="000000" w:themeColor="text1"/>
          <w:sz w:val="26"/>
          <w:szCs w:val="26"/>
          <w:lang w:bidi="fa-IR"/>
        </w:rPr>
        <w:t>experience on college student engagement in Malaysia. Overall, the empirical evidence suggests that brand experience can foster brand engagement by stimulating consumers' cognitive, affective, and behavioral involvement with brands. However, the strength and direction of this relationship may vary across contexts and construct dimensions.</w:t>
      </w:r>
      <w:r w:rsidRPr="00816C6E">
        <w:rPr>
          <w:rFonts w:ascii="Times New Roman" w:hAnsi="Times New Roman" w:cs="Times New Roman"/>
          <w:color w:val="000000" w:themeColor="text1"/>
          <w:sz w:val="26"/>
          <w:szCs w:val="26"/>
          <w:lang w:bidi="fa-IR"/>
        </w:rPr>
        <w:t xml:space="preserve"> These inconsistencies indicate a need for further empirical investigation of the relationship between brand experience and brand engagement:</w:t>
      </w:r>
    </w:p>
    <w:p w14:paraId="03C20266" w14:textId="77777777" w:rsidR="001D563D" w:rsidRPr="00816C6E" w:rsidRDefault="001D563D"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44E2C6A4" w14:textId="77777777" w:rsidR="00ED4759" w:rsidRPr="00816C6E" w:rsidRDefault="00D94758" w:rsidP="009B1458">
      <w:pPr>
        <w:spacing w:after="0" w:line="360" w:lineRule="exact"/>
        <w:ind w:left="567" w:hangingChars="218" w:hanging="567"/>
        <w:jc w:val="lowKashida"/>
        <w:rPr>
          <w:rFonts w:ascii="Times New Roman" w:hAnsi="Times New Roman" w:cs="Times New Roman"/>
          <w:color w:val="000000" w:themeColor="text1"/>
          <w:sz w:val="26"/>
          <w:szCs w:val="26"/>
          <w:lang w:bidi="fa-IR"/>
        </w:rPr>
      </w:pPr>
      <w:r w:rsidRPr="009B1458">
        <w:rPr>
          <w:rFonts w:ascii="Times New Roman" w:hAnsi="Times New Roman" w:cs="Times New Roman"/>
          <w:b/>
          <w:bCs/>
          <w:color w:val="000000" w:themeColor="text1"/>
          <w:sz w:val="26"/>
          <w:szCs w:val="26"/>
          <w:lang w:bidi="fa-IR"/>
        </w:rPr>
        <w:t>H2:</w:t>
      </w:r>
      <w:r w:rsidRPr="00816C6E">
        <w:rPr>
          <w:rFonts w:ascii="Times New Roman" w:hAnsi="Times New Roman" w:cs="Times New Roman"/>
          <w:color w:val="000000" w:themeColor="text1"/>
          <w:sz w:val="26"/>
          <w:szCs w:val="26"/>
          <w:lang w:bidi="fa-IR"/>
        </w:rPr>
        <w:t xml:space="preserve"> Brand experiences significantly affect brand engagement among social commerce users.</w:t>
      </w:r>
    </w:p>
    <w:p w14:paraId="4AEB5546" w14:textId="77777777" w:rsidR="00ED4759" w:rsidRPr="00816C6E" w:rsidRDefault="00ED4759" w:rsidP="00ED4759">
      <w:pPr>
        <w:spacing w:after="0" w:line="360" w:lineRule="exact"/>
        <w:jc w:val="lowKashida"/>
        <w:rPr>
          <w:rFonts w:ascii="Times New Roman" w:hAnsi="Times New Roman" w:cs="Times New Roman"/>
          <w:color w:val="000000" w:themeColor="text1"/>
          <w:sz w:val="26"/>
          <w:szCs w:val="26"/>
          <w:lang w:bidi="fa-IR"/>
        </w:rPr>
      </w:pPr>
    </w:p>
    <w:p w14:paraId="41333426" w14:textId="77777777" w:rsidR="00ED4759" w:rsidRPr="00816C6E" w:rsidRDefault="00D94758" w:rsidP="00ED4759">
      <w:pPr>
        <w:spacing w:after="0" w:line="360" w:lineRule="exact"/>
        <w:jc w:val="lowKashida"/>
        <w:rPr>
          <w:rFonts w:ascii="Times New Roman" w:hAnsi="Times New Roman" w:cs="Times New Roman"/>
          <w:b/>
          <w:bCs/>
          <w:color w:val="000000" w:themeColor="text1"/>
          <w:sz w:val="26"/>
          <w:szCs w:val="26"/>
          <w:lang w:bidi="fa-IR"/>
        </w:rPr>
      </w:pPr>
      <w:r w:rsidRPr="00D85009">
        <w:rPr>
          <w:rFonts w:ascii="Times New Roman" w:hAnsi="Times New Roman" w:cs="Times New Roman"/>
          <w:b/>
          <w:bCs/>
          <w:color w:val="000000" w:themeColor="text1"/>
          <w:sz w:val="26"/>
          <w:szCs w:val="26"/>
          <w:lang w:bidi="fa-IR"/>
        </w:rPr>
        <w:t>Brand Engagement and Brand Equity in Social Commerce Context</w:t>
      </w:r>
    </w:p>
    <w:p w14:paraId="646467D9" w14:textId="77777777" w:rsidR="00ED4759" w:rsidRPr="00B22FF4"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B22FF4">
        <w:rPr>
          <w:rFonts w:ascii="Times New Roman" w:hAnsi="Times New Roman" w:cs="Times New Roman"/>
          <w:color w:val="000000" w:themeColor="text1"/>
          <w:sz w:val="26"/>
          <w:szCs w:val="26"/>
          <w:lang w:bidi="fa-IR"/>
        </w:rPr>
        <w:t xml:space="preserve">Brand equity represents the strength and value of a brand and is considered an important asset for marketers (Aaker, 1992). Building strong brand equity can benefit companies; therefore, understanding the factors that contribute to its formation is essential to identifying how brand value develops (Keller &amp; </w:t>
      </w:r>
      <w:proofErr w:type="spellStart"/>
      <w:r w:rsidRPr="00B22FF4">
        <w:rPr>
          <w:rFonts w:ascii="Times New Roman" w:hAnsi="Times New Roman" w:cs="Times New Roman"/>
          <w:color w:val="000000" w:themeColor="text1"/>
          <w:sz w:val="26"/>
          <w:szCs w:val="26"/>
          <w:lang w:bidi="fa-IR"/>
        </w:rPr>
        <w:t>Brexendorf</w:t>
      </w:r>
      <w:proofErr w:type="spellEnd"/>
      <w:r w:rsidRPr="00B22FF4">
        <w:rPr>
          <w:rFonts w:ascii="Times New Roman" w:hAnsi="Times New Roman" w:cs="Times New Roman"/>
          <w:color w:val="000000" w:themeColor="text1"/>
          <w:sz w:val="26"/>
          <w:szCs w:val="26"/>
          <w:lang w:bidi="fa-IR"/>
        </w:rPr>
        <w:t xml:space="preserve">, 2019). In online environments, brand engagement has emerged as an important factor in shaping brand equity. Xi and </w:t>
      </w:r>
      <w:proofErr w:type="spellStart"/>
      <w:r w:rsidRPr="00B22FF4">
        <w:rPr>
          <w:rFonts w:ascii="Times New Roman" w:hAnsi="Times New Roman" w:cs="Times New Roman"/>
          <w:color w:val="000000" w:themeColor="text1"/>
          <w:sz w:val="26"/>
          <w:szCs w:val="26"/>
          <w:lang w:bidi="fa-IR"/>
        </w:rPr>
        <w:t>Hamari</w:t>
      </w:r>
      <w:proofErr w:type="spellEnd"/>
      <w:r w:rsidRPr="00B22FF4">
        <w:rPr>
          <w:rFonts w:ascii="Times New Roman" w:hAnsi="Times New Roman" w:cs="Times New Roman"/>
          <w:color w:val="000000" w:themeColor="text1"/>
          <w:sz w:val="26"/>
          <w:szCs w:val="26"/>
          <w:lang w:bidi="fa-IR"/>
        </w:rPr>
        <w:t xml:space="preserve"> (2020) found that brand engagement contributes to the development of brand equity in online brand communities. </w:t>
      </w:r>
    </w:p>
    <w:p w14:paraId="7AF0EC0F" w14:textId="24494D5B"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B22FF4">
        <w:rPr>
          <w:rFonts w:ascii="Times New Roman" w:hAnsi="Times New Roman" w:cs="Times New Roman"/>
          <w:color w:val="000000" w:themeColor="text1"/>
          <w:sz w:val="26"/>
          <w:szCs w:val="26"/>
          <w:lang w:bidi="fa-IR"/>
        </w:rPr>
        <w:t xml:space="preserve">Similarly, </w:t>
      </w:r>
      <w:proofErr w:type="spellStart"/>
      <w:r w:rsidRPr="00B22FF4">
        <w:rPr>
          <w:rFonts w:ascii="Times New Roman" w:hAnsi="Times New Roman" w:cs="Times New Roman"/>
          <w:color w:val="000000" w:themeColor="text1"/>
          <w:sz w:val="26"/>
          <w:szCs w:val="26"/>
          <w:lang w:bidi="fa-IR"/>
        </w:rPr>
        <w:t>Perera</w:t>
      </w:r>
      <w:proofErr w:type="spellEnd"/>
      <w:r w:rsidRPr="00B22FF4">
        <w:rPr>
          <w:rFonts w:ascii="Times New Roman" w:hAnsi="Times New Roman" w:cs="Times New Roman"/>
          <w:color w:val="000000" w:themeColor="text1"/>
          <w:sz w:val="26"/>
          <w:szCs w:val="26"/>
          <w:lang w:bidi="fa-IR"/>
        </w:rPr>
        <w:t xml:space="preserve"> et al. (2023) demonstrated that brand engagement positively influences brand equity in social media contexts. </w:t>
      </w:r>
      <w:proofErr w:type="spellStart"/>
      <w:r w:rsidRPr="00B22FF4">
        <w:rPr>
          <w:rFonts w:ascii="Times New Roman" w:hAnsi="Times New Roman" w:cs="Times New Roman"/>
          <w:color w:val="000000" w:themeColor="text1"/>
          <w:sz w:val="26"/>
          <w:szCs w:val="26"/>
          <w:lang w:bidi="fa-IR"/>
        </w:rPr>
        <w:t>Sohaib</w:t>
      </w:r>
      <w:proofErr w:type="spellEnd"/>
      <w:r w:rsidRPr="00B22FF4">
        <w:rPr>
          <w:rFonts w:ascii="Times New Roman" w:hAnsi="Times New Roman" w:cs="Times New Roman"/>
          <w:color w:val="000000" w:themeColor="text1"/>
          <w:sz w:val="26"/>
          <w:szCs w:val="26"/>
          <w:lang w:bidi="fa-IR"/>
        </w:rPr>
        <w:t xml:space="preserve"> et al. (202</w:t>
      </w:r>
      <w:r w:rsidR="00C251D6">
        <w:rPr>
          <w:rFonts w:ascii="Times New Roman" w:hAnsi="Times New Roman" w:cs="Times New Roman"/>
          <w:color w:val="000000" w:themeColor="text1"/>
          <w:sz w:val="26"/>
          <w:szCs w:val="26"/>
          <w:lang w:bidi="fa-IR"/>
        </w:rPr>
        <w:t>3</w:t>
      </w:r>
      <w:r w:rsidRPr="00B22FF4">
        <w:rPr>
          <w:rFonts w:ascii="Times New Roman" w:hAnsi="Times New Roman" w:cs="Times New Roman"/>
          <w:color w:val="000000" w:themeColor="text1"/>
          <w:sz w:val="26"/>
          <w:szCs w:val="26"/>
          <w:lang w:bidi="fa-IR"/>
        </w:rPr>
        <w:t>) also found a significant and positive effect of brand engagement on brand equity among technology product consumers in China. Further evidence from the fashion market indicates that brand engagement on social media directly and positively influences several components of brand equity, particularly brand awareness and brand associations (</w:t>
      </w:r>
      <w:r w:rsidR="006A0B04">
        <w:rPr>
          <w:rFonts w:ascii="Times New Roman" w:hAnsi="Times New Roman" w:cs="Times New Roman"/>
          <w:color w:val="000000" w:themeColor="text1"/>
          <w:sz w:val="26"/>
          <w:szCs w:val="26"/>
          <w:lang w:bidi="fa-IR"/>
        </w:rPr>
        <w:t xml:space="preserve">Vo </w:t>
      </w:r>
      <w:r w:rsidRPr="00B22FF4">
        <w:rPr>
          <w:rFonts w:ascii="Times New Roman" w:hAnsi="Times New Roman" w:cs="Times New Roman"/>
          <w:color w:val="000000" w:themeColor="text1"/>
          <w:sz w:val="26"/>
          <w:szCs w:val="26"/>
          <w:lang w:bidi="fa-IR"/>
        </w:rPr>
        <w:t>Minh et al., 2022).</w:t>
      </w:r>
    </w:p>
    <w:p w14:paraId="079D01CD" w14:textId="77777777" w:rsidR="00ED4759"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Brand equity is generally conceptualized through four dimensions: brand awareness, brand associations, perceived quality, and brand loyalty (</w:t>
      </w:r>
      <w:proofErr w:type="spellStart"/>
      <w:r w:rsidRPr="00816C6E">
        <w:rPr>
          <w:rFonts w:ascii="Times New Roman" w:hAnsi="Times New Roman" w:cs="Times New Roman"/>
          <w:color w:val="000000" w:themeColor="text1"/>
          <w:sz w:val="26"/>
          <w:szCs w:val="26"/>
          <w:lang w:bidi="fa-IR"/>
        </w:rPr>
        <w:t>Beig</w:t>
      </w:r>
      <w:proofErr w:type="spellEnd"/>
      <w:r w:rsidRPr="00816C6E">
        <w:rPr>
          <w:rFonts w:ascii="Times New Roman" w:hAnsi="Times New Roman" w:cs="Times New Roman"/>
          <w:color w:val="000000" w:themeColor="text1"/>
          <w:sz w:val="26"/>
          <w:szCs w:val="26"/>
          <w:lang w:bidi="fa-IR"/>
        </w:rPr>
        <w:t xml:space="preserve"> &amp; Nika, 2019). Brand awareness refers to consumers' ability to recognize and recall a brand. Higher brand awareness makes it easier for consumers to identify a brand when making purchasing decisions. Perceived quality reflects consumers' overall assessment of a brand's products or services and can influence both purchase decisions and satisfaction. Brand associations are the thoughts, feelings, and attributes that consumers associate with a brand. Positive associations can strengthen brand image and distinguish the brand from its competitors. Finally, brand loyalty reflects consumers' commitment and preference toward a brand, which may be expressed through repeat purchases and positive word-of-mouth or advocacy:</w:t>
      </w:r>
    </w:p>
    <w:p w14:paraId="2D5ABCD0" w14:textId="77777777" w:rsidR="001D563D" w:rsidRPr="00816C6E" w:rsidRDefault="001D563D"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0D0A38E7" w14:textId="77777777" w:rsidR="00ED4759" w:rsidRPr="00816C6E" w:rsidRDefault="00D94758" w:rsidP="009B1458">
      <w:pPr>
        <w:spacing w:after="0" w:line="360" w:lineRule="exact"/>
        <w:ind w:left="567" w:hangingChars="218" w:hanging="567"/>
        <w:jc w:val="lowKashida"/>
        <w:rPr>
          <w:rFonts w:ascii="Times New Roman" w:hAnsi="Times New Roman" w:cs="Times New Roman"/>
          <w:color w:val="000000" w:themeColor="text1"/>
          <w:sz w:val="26"/>
          <w:szCs w:val="26"/>
          <w:lang w:bidi="fa-IR"/>
        </w:rPr>
      </w:pPr>
      <w:r w:rsidRPr="009B1458">
        <w:rPr>
          <w:rFonts w:ascii="Times New Roman" w:hAnsi="Times New Roman" w:cs="Times New Roman"/>
          <w:b/>
          <w:bCs/>
          <w:color w:val="000000" w:themeColor="text1"/>
          <w:sz w:val="26"/>
          <w:szCs w:val="26"/>
          <w:lang w:bidi="fa-IR"/>
        </w:rPr>
        <w:t xml:space="preserve">H3: </w:t>
      </w:r>
      <w:r w:rsidRPr="00816C6E">
        <w:rPr>
          <w:rFonts w:ascii="Times New Roman" w:hAnsi="Times New Roman" w:cs="Times New Roman"/>
          <w:color w:val="000000" w:themeColor="text1"/>
          <w:sz w:val="26"/>
          <w:szCs w:val="26"/>
          <w:lang w:bidi="fa-IR"/>
        </w:rPr>
        <w:t>Brand engagement has a significant effect on brand equity among social commerce users.</w:t>
      </w:r>
    </w:p>
    <w:p w14:paraId="13EF3F80" w14:textId="77777777" w:rsidR="00ED4759" w:rsidRPr="00816C6E" w:rsidRDefault="00D94758" w:rsidP="00ED4759">
      <w:pPr>
        <w:spacing w:after="0" w:line="360" w:lineRule="exact"/>
        <w:jc w:val="lowKashida"/>
        <w:rPr>
          <w:rFonts w:ascii="Times New Roman" w:hAnsi="Times New Roman" w:cs="Times New Roman"/>
          <w:b/>
          <w:bCs/>
          <w:color w:val="000000" w:themeColor="text1"/>
          <w:sz w:val="26"/>
          <w:szCs w:val="26"/>
          <w:lang w:bidi="fa-IR"/>
        </w:rPr>
      </w:pPr>
      <w:r w:rsidRPr="00D85009">
        <w:rPr>
          <w:rFonts w:ascii="Times New Roman" w:hAnsi="Times New Roman" w:cs="Times New Roman"/>
          <w:b/>
          <w:bCs/>
          <w:color w:val="000000" w:themeColor="text1"/>
          <w:sz w:val="26"/>
          <w:szCs w:val="26"/>
          <w:lang w:bidi="fa-IR"/>
        </w:rPr>
        <w:t>Brand Engagement as a Mediating Variable</w:t>
      </w:r>
    </w:p>
    <w:p w14:paraId="5C63D84E" w14:textId="77777777" w:rsidR="00ED4759" w:rsidRPr="00D85009"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D85009">
        <w:rPr>
          <w:rFonts w:ascii="Times New Roman" w:hAnsi="Times New Roman" w:cs="Times New Roman"/>
          <w:color w:val="000000" w:themeColor="text1"/>
          <w:sz w:val="26"/>
          <w:szCs w:val="26"/>
          <w:lang w:bidi="fa-IR"/>
        </w:rPr>
        <w:t xml:space="preserve">The digital environment enables dynamic, real-time, and multidirectional communication between brands and consumers, fundamentally changing how brands interact with their audiences (Hu &amp; Song, 2025; </w:t>
      </w:r>
      <w:proofErr w:type="spellStart"/>
      <w:r w:rsidRPr="00D85009">
        <w:rPr>
          <w:rFonts w:ascii="Times New Roman" w:hAnsi="Times New Roman" w:cs="Times New Roman"/>
          <w:color w:val="000000" w:themeColor="text1"/>
          <w:sz w:val="26"/>
          <w:szCs w:val="26"/>
          <w:lang w:bidi="fa-IR"/>
        </w:rPr>
        <w:t>Rawangngam</w:t>
      </w:r>
      <w:proofErr w:type="spellEnd"/>
      <w:r w:rsidRPr="00D85009">
        <w:rPr>
          <w:rFonts w:ascii="Times New Roman" w:hAnsi="Times New Roman" w:cs="Times New Roman"/>
          <w:color w:val="000000" w:themeColor="text1"/>
          <w:sz w:val="26"/>
          <w:szCs w:val="26"/>
          <w:lang w:bidi="fa-IR"/>
        </w:rPr>
        <w:t xml:space="preserve"> et al., 2025). Consumer engagement is positively associated with satisfaction and brand loyalty, which can subsequently facilitate value co-creation (Nadeem et al., 2021). Within online brand communities, social media, and other digital environments, brand engagement has increasingly been recognized as a mechanism linking consumer experiences or marketing activities to various brand-related outcomes, including brand equity.</w:t>
      </w:r>
    </w:p>
    <w:p w14:paraId="7D6E1B1F"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D85009">
        <w:rPr>
          <w:rFonts w:ascii="Times New Roman" w:hAnsi="Times New Roman" w:cs="Times New Roman"/>
          <w:color w:val="000000" w:themeColor="text1"/>
          <w:sz w:val="26"/>
          <w:szCs w:val="26"/>
          <w:lang w:bidi="fa-IR"/>
        </w:rPr>
        <w:t>Empirical studies provide support for this mediating role. Waqas et al. (2025) examined the effect of sublime brand experience on brand engagement and brand equity in a social media context. Their findings showed that brand experience had a direct positive effect on brand equity, while brand engagement partially mediated this relationship. Similarly, Karim et al. (202</w:t>
      </w:r>
      <w:r w:rsidR="0009055E">
        <w:rPr>
          <w:rFonts w:ascii="Times New Roman" w:hAnsi="Times New Roman" w:cs="Times New Roman"/>
          <w:color w:val="000000" w:themeColor="text1"/>
          <w:sz w:val="26"/>
          <w:szCs w:val="26"/>
          <w:lang w:bidi="fa-IR"/>
        </w:rPr>
        <w:t>5</w:t>
      </w:r>
      <w:r w:rsidRPr="00D85009">
        <w:rPr>
          <w:rFonts w:ascii="Times New Roman" w:hAnsi="Times New Roman" w:cs="Times New Roman"/>
          <w:color w:val="000000" w:themeColor="text1"/>
          <w:sz w:val="26"/>
          <w:szCs w:val="26"/>
          <w:lang w:bidi="fa-IR"/>
        </w:rPr>
        <w:t>) found that brand engagement mediated the relationship between brand experience and brand equity in the banking industry. Beyond brand experience, Cheung et al. (</w:t>
      </w:r>
      <w:r w:rsidR="003E1376" w:rsidRPr="00D85009">
        <w:rPr>
          <w:rFonts w:ascii="Times New Roman" w:hAnsi="Times New Roman" w:cs="Times New Roman"/>
          <w:color w:val="000000" w:themeColor="text1"/>
          <w:sz w:val="26"/>
          <w:szCs w:val="26"/>
          <w:lang w:bidi="fa-IR"/>
        </w:rPr>
        <w:t>202</w:t>
      </w:r>
      <w:r w:rsidR="003E1376">
        <w:rPr>
          <w:rFonts w:ascii="Times New Roman" w:hAnsi="Times New Roman" w:cs="Times New Roman"/>
          <w:color w:val="000000" w:themeColor="text1"/>
          <w:sz w:val="26"/>
          <w:szCs w:val="26"/>
          <w:lang w:bidi="fa-IR"/>
        </w:rPr>
        <w:t>1</w:t>
      </w:r>
      <w:r w:rsidRPr="00D85009">
        <w:rPr>
          <w:rFonts w:ascii="Times New Roman" w:hAnsi="Times New Roman" w:cs="Times New Roman"/>
          <w:color w:val="000000" w:themeColor="text1"/>
          <w:sz w:val="26"/>
          <w:szCs w:val="26"/>
          <w:lang w:bidi="fa-IR"/>
        </w:rPr>
        <w:t>) demonstrated that consumer brand engagement fully mediated the effect of ongoing search behavior on brand attitude among technology users in Hong Kong, indicating that engagement can translate consumers’ information-seeking activities into more favorable brand evaluations.</w:t>
      </w:r>
      <w:r w:rsidRPr="00816C6E">
        <w:rPr>
          <w:rFonts w:ascii="Times New Roman" w:hAnsi="Times New Roman" w:cs="Times New Roman"/>
          <w:color w:val="000000" w:themeColor="text1"/>
          <w:sz w:val="26"/>
          <w:szCs w:val="26"/>
          <w:lang w:bidi="fa-IR"/>
        </w:rPr>
        <w:t xml:space="preserve"> </w:t>
      </w:r>
    </w:p>
    <w:p w14:paraId="04137EF5" w14:textId="77777777" w:rsidR="00ED4759"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These findings suggest that brand engagement can serve as an intervening mechanism through which consumers' experiences and interactions with brands translate into positive brand-related outcomes. The findings of these studies show that consumer engagement is driven by and correlates with brand experience and brand equity, and that engagement serves as a mediator. The hypothesis proposed is based on previous research findings:</w:t>
      </w:r>
    </w:p>
    <w:p w14:paraId="74C4163A" w14:textId="77777777" w:rsidR="009B1458" w:rsidRPr="00816C6E" w:rsidRDefault="009B14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7AFA38DE" w14:textId="77777777" w:rsidR="0057675D" w:rsidRPr="00816C6E" w:rsidRDefault="00D94758" w:rsidP="00ED4759">
      <w:pPr>
        <w:spacing w:after="0" w:line="360" w:lineRule="exact"/>
        <w:jc w:val="lowKashida"/>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H4: Brand engagement mediates the relationship between brand experience and brand equity among social commerce users.</w:t>
      </w:r>
    </w:p>
    <w:p w14:paraId="6C64A1DE" w14:textId="77777777" w:rsidR="0057675D" w:rsidRPr="00816C6E" w:rsidRDefault="0057675D" w:rsidP="00821386">
      <w:pPr>
        <w:spacing w:after="0" w:line="360" w:lineRule="exact"/>
        <w:jc w:val="lowKashida"/>
        <w:rPr>
          <w:rFonts w:ascii="Times New Roman" w:hAnsi="Times New Roman" w:cs="Times New Roman"/>
          <w:color w:val="000000" w:themeColor="text1"/>
          <w:sz w:val="26"/>
          <w:szCs w:val="26"/>
          <w:lang w:bidi="fa-IR"/>
        </w:rPr>
      </w:pPr>
    </w:p>
    <w:p w14:paraId="6BA2C05A" w14:textId="77777777" w:rsidR="0057675D" w:rsidRPr="00816C6E" w:rsidRDefault="00D94758" w:rsidP="00821386">
      <w:pPr>
        <w:spacing w:after="0" w:line="360" w:lineRule="exact"/>
        <w:jc w:val="center"/>
        <w:rPr>
          <w:rFonts w:ascii="Times New Roman" w:hAnsi="Times New Roman" w:cs="Times New Roman"/>
          <w:b/>
          <w:bCs/>
          <w:color w:val="000000" w:themeColor="text1"/>
          <w:sz w:val="26"/>
          <w:szCs w:val="26"/>
          <w:lang w:bidi="fa-IR"/>
        </w:rPr>
      </w:pPr>
      <w:r w:rsidRPr="00816C6E">
        <w:rPr>
          <w:rFonts w:ascii="Times New Roman" w:hAnsi="Times New Roman" w:cs="Times New Roman"/>
          <w:b/>
          <w:bCs/>
          <w:sz w:val="26"/>
          <w:szCs w:val="26"/>
        </w:rPr>
        <w:t>DATA AND METHOD</w:t>
      </w:r>
    </w:p>
    <w:p w14:paraId="5DBA1C87" w14:textId="77777777" w:rsidR="00ED4759" w:rsidRPr="00816C6E" w:rsidRDefault="00D94758" w:rsidP="00ED4759">
      <w:pPr>
        <w:spacing w:after="0" w:line="360" w:lineRule="exact"/>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Sampling and Data Collection</w:t>
      </w:r>
    </w:p>
    <w:p w14:paraId="47E54D2C"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 xml:space="preserve">This study employed a quantitative approach. The research adopted a single-brand design, focusing on </w:t>
      </w:r>
      <w:r w:rsidRPr="00D85009">
        <w:rPr>
          <w:rFonts w:ascii="Times New Roman" w:hAnsi="Times New Roman" w:cs="Times New Roman"/>
          <w:color w:val="000000"/>
          <w:sz w:val="26"/>
          <w:szCs w:val="26"/>
        </w:rPr>
        <w:t xml:space="preserve">Shopee Indonesia, the most popular social commerce platform in Indonesia and the one with the highest number of daily active users during the study period (Badan Pusat </w:t>
      </w:r>
      <w:proofErr w:type="spellStart"/>
      <w:r w:rsidRPr="00D85009">
        <w:rPr>
          <w:rFonts w:ascii="Times New Roman" w:hAnsi="Times New Roman" w:cs="Times New Roman"/>
          <w:color w:val="000000"/>
          <w:sz w:val="26"/>
          <w:szCs w:val="26"/>
        </w:rPr>
        <w:t>Statistik</w:t>
      </w:r>
      <w:proofErr w:type="spellEnd"/>
      <w:r w:rsidRPr="00D85009">
        <w:rPr>
          <w:rFonts w:ascii="Times New Roman" w:hAnsi="Times New Roman" w:cs="Times New Roman"/>
          <w:color w:val="000000"/>
          <w:sz w:val="26"/>
          <w:szCs w:val="26"/>
        </w:rPr>
        <w:t>, 2024).</w:t>
      </w:r>
      <w:r w:rsidRPr="00816C6E">
        <w:rPr>
          <w:rFonts w:ascii="Times New Roman" w:hAnsi="Times New Roman" w:cs="Times New Roman"/>
          <w:color w:val="000000"/>
          <w:sz w:val="26"/>
          <w:szCs w:val="26"/>
        </w:rPr>
        <w:t xml:space="preserve"> The brand was selected to provide a consistent referent across respondents and to ensure that participants had sufficient exposure to the brand within a social commerce environment. The target population consisted of users who followed Shopee's official Instagram account.</w:t>
      </w:r>
    </w:p>
    <w:p w14:paraId="42CE5A90"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 xml:space="preserve">Eligible respondents were required to follow Shopee's official social media account and have prior experience interacting with the brand through social media or its social commerce activities. Respondents were recruited over 90 days using </w:t>
      </w:r>
      <w:r w:rsidRPr="003148D2">
        <w:rPr>
          <w:rFonts w:ascii="Times New Roman" w:hAnsi="Times New Roman" w:cs="Times New Roman"/>
          <w:color w:val="000000"/>
          <w:sz w:val="26"/>
          <w:szCs w:val="26"/>
        </w:rPr>
        <w:t>a non-probability, purposive sampling method</w:t>
      </w:r>
      <w:r w:rsidRPr="00816C6E">
        <w:rPr>
          <w:rFonts w:ascii="Times New Roman" w:hAnsi="Times New Roman" w:cs="Times New Roman"/>
          <w:color w:val="000000"/>
          <w:sz w:val="26"/>
          <w:szCs w:val="26"/>
        </w:rPr>
        <w:t xml:space="preserve">. Shopee was presented as “Brand X” throughout the questionnaire to maintain consistency across the measurement items. </w:t>
      </w:r>
      <w:r w:rsidRPr="003148D2">
        <w:rPr>
          <w:rFonts w:ascii="Times New Roman" w:hAnsi="Times New Roman" w:cs="Times New Roman"/>
          <w:color w:val="000000"/>
          <w:sz w:val="26"/>
          <w:szCs w:val="26"/>
        </w:rPr>
        <w:t>A total of 279 questionnaires were received, of which 17 were excluded during the initial screening due to incomplete responses. The remaining 262 complete responses were retained for further analysis.</w:t>
      </w:r>
    </w:p>
    <w:p w14:paraId="01752E64" w14:textId="77777777" w:rsidR="00ED4759" w:rsidRPr="00816C6E" w:rsidRDefault="00ED4759" w:rsidP="00ED4759">
      <w:pPr>
        <w:spacing w:after="0" w:line="360" w:lineRule="exact"/>
        <w:ind w:firstLine="567"/>
        <w:jc w:val="both"/>
        <w:rPr>
          <w:rFonts w:ascii="Times New Roman" w:hAnsi="Times New Roman" w:cs="Times New Roman"/>
          <w:color w:val="000000"/>
          <w:sz w:val="26"/>
          <w:szCs w:val="26"/>
        </w:rPr>
      </w:pPr>
    </w:p>
    <w:p w14:paraId="07817146" w14:textId="77777777" w:rsidR="00ED4759" w:rsidRPr="00816C6E" w:rsidRDefault="00D94758" w:rsidP="00ED4759">
      <w:pPr>
        <w:spacing w:after="0" w:line="360" w:lineRule="exact"/>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Research Measurement</w:t>
      </w:r>
    </w:p>
    <w:p w14:paraId="0BE32DBA"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The research instrument used to measure brand engagement, brand experience, and brand equity is based on previously conducted, relevant research. The brand engagement item uses the question indicator from Khan et al. (20</w:t>
      </w:r>
      <w:r w:rsidR="003148D2">
        <w:rPr>
          <w:rFonts w:ascii="Times New Roman" w:hAnsi="Times New Roman" w:cs="Times New Roman"/>
          <w:color w:val="000000"/>
          <w:sz w:val="26"/>
          <w:szCs w:val="26"/>
        </w:rPr>
        <w:t>20</w:t>
      </w:r>
      <w:r w:rsidRPr="00816C6E">
        <w:rPr>
          <w:rFonts w:ascii="Times New Roman" w:hAnsi="Times New Roman" w:cs="Times New Roman"/>
          <w:color w:val="000000"/>
          <w:sz w:val="26"/>
          <w:szCs w:val="26"/>
        </w:rPr>
        <w:t xml:space="preserve">), comprising 10 statements. The brand equity variable employs four dimensions of brand awareness, association, perceived quality, and loyalty from </w:t>
      </w:r>
      <w:proofErr w:type="spellStart"/>
      <w:r w:rsidRPr="00816C6E">
        <w:rPr>
          <w:rFonts w:ascii="Times New Roman" w:hAnsi="Times New Roman" w:cs="Times New Roman"/>
          <w:color w:val="000000"/>
          <w:sz w:val="26"/>
          <w:szCs w:val="26"/>
        </w:rPr>
        <w:t>Beig</w:t>
      </w:r>
      <w:proofErr w:type="spellEnd"/>
      <w:r w:rsidRPr="00816C6E">
        <w:rPr>
          <w:rFonts w:ascii="Times New Roman" w:hAnsi="Times New Roman" w:cs="Times New Roman"/>
          <w:color w:val="000000"/>
          <w:sz w:val="26"/>
          <w:szCs w:val="26"/>
        </w:rPr>
        <w:t xml:space="preserve"> and Nika’s (2022) research indicators, with 16 statements. Meanwhile, this study employs the research indicator developed by </w:t>
      </w:r>
      <w:proofErr w:type="spellStart"/>
      <w:r w:rsidRPr="00816C6E">
        <w:rPr>
          <w:rFonts w:ascii="Times New Roman" w:hAnsi="Times New Roman" w:cs="Times New Roman"/>
          <w:color w:val="000000"/>
          <w:sz w:val="26"/>
          <w:szCs w:val="26"/>
        </w:rPr>
        <w:t>Beig</w:t>
      </w:r>
      <w:proofErr w:type="spellEnd"/>
      <w:r w:rsidRPr="00816C6E">
        <w:rPr>
          <w:rFonts w:ascii="Times New Roman" w:hAnsi="Times New Roman" w:cs="Times New Roman"/>
          <w:color w:val="000000"/>
          <w:sz w:val="26"/>
          <w:szCs w:val="26"/>
        </w:rPr>
        <w:t xml:space="preserve"> </w:t>
      </w:r>
      <w:r w:rsidR="003E1376">
        <w:rPr>
          <w:rFonts w:ascii="Times New Roman" w:hAnsi="Times New Roman" w:cs="Times New Roman"/>
          <w:color w:val="000000"/>
          <w:sz w:val="26"/>
          <w:szCs w:val="26"/>
        </w:rPr>
        <w:t>and</w:t>
      </w:r>
      <w:r w:rsidR="003E1376" w:rsidRPr="00816C6E">
        <w:rPr>
          <w:rFonts w:ascii="Times New Roman" w:hAnsi="Times New Roman" w:cs="Times New Roman"/>
          <w:color w:val="000000"/>
          <w:sz w:val="26"/>
          <w:szCs w:val="26"/>
        </w:rPr>
        <w:t xml:space="preserve"> </w:t>
      </w:r>
      <w:r w:rsidRPr="00816C6E">
        <w:rPr>
          <w:rFonts w:ascii="Times New Roman" w:hAnsi="Times New Roman" w:cs="Times New Roman"/>
          <w:color w:val="000000"/>
          <w:sz w:val="26"/>
          <w:szCs w:val="26"/>
        </w:rPr>
        <w:t xml:space="preserve">Nika (2022), consisting of 12 statements, to assess brand experience across the sensory, affective, behavioral, and intellectual domains. </w:t>
      </w:r>
      <w:r w:rsidRPr="003148D2">
        <w:rPr>
          <w:rFonts w:ascii="Times New Roman" w:hAnsi="Times New Roman" w:cs="Times New Roman"/>
          <w:color w:val="000000"/>
          <w:sz w:val="26"/>
          <w:szCs w:val="26"/>
        </w:rPr>
        <w:t xml:space="preserve">Respondents’ perceptions are measured using points on a 1-4 Likert scale for each variable in this study. A four-point response scale was adopted to eliminate the neutral midpoint and encourage respondents to provide a more clearly directed evaluation of the statements presented (Adelson &amp; </w:t>
      </w:r>
      <w:proofErr w:type="spellStart"/>
      <w:r w:rsidRPr="003148D2">
        <w:rPr>
          <w:rFonts w:ascii="Times New Roman" w:hAnsi="Times New Roman" w:cs="Times New Roman"/>
          <w:color w:val="000000"/>
          <w:sz w:val="26"/>
          <w:szCs w:val="26"/>
        </w:rPr>
        <w:t>McCoach</w:t>
      </w:r>
      <w:proofErr w:type="spellEnd"/>
      <w:r w:rsidRPr="003148D2">
        <w:rPr>
          <w:rFonts w:ascii="Times New Roman" w:hAnsi="Times New Roman" w:cs="Times New Roman"/>
          <w:color w:val="000000"/>
          <w:sz w:val="26"/>
          <w:szCs w:val="26"/>
        </w:rPr>
        <w:t xml:space="preserve">, 2010; Sun &amp; </w:t>
      </w:r>
      <w:proofErr w:type="spellStart"/>
      <w:r w:rsidRPr="003148D2">
        <w:rPr>
          <w:rFonts w:ascii="Times New Roman" w:hAnsi="Times New Roman" w:cs="Times New Roman"/>
          <w:color w:val="000000"/>
          <w:sz w:val="26"/>
          <w:szCs w:val="26"/>
        </w:rPr>
        <w:t>Drasgow</w:t>
      </w:r>
      <w:proofErr w:type="spellEnd"/>
      <w:r w:rsidRPr="003148D2">
        <w:rPr>
          <w:rFonts w:ascii="Times New Roman" w:hAnsi="Times New Roman" w:cs="Times New Roman"/>
          <w:color w:val="000000"/>
          <w:sz w:val="26"/>
          <w:szCs w:val="26"/>
        </w:rPr>
        <w:t>, 2021).</w:t>
      </w:r>
      <w:r w:rsidRPr="00816C6E">
        <w:rPr>
          <w:rFonts w:ascii="Times New Roman" w:hAnsi="Times New Roman" w:cs="Times New Roman"/>
          <w:color w:val="000000"/>
          <w:sz w:val="26"/>
          <w:szCs w:val="26"/>
        </w:rPr>
        <w:t xml:space="preserve"> This research uses Partial Least Squares-Structural Equation Modeling (PLS-SEM) as a data analysis tool and tests the structural model. The choice of PLS-SEM in this research is because it can measure and synchronize measurement and structural models, and it is appropriate for research intended to determine the drivers of a study (Hair et al., 2019).</w:t>
      </w:r>
    </w:p>
    <w:p w14:paraId="255DE664" w14:textId="77777777" w:rsidR="00ED4759" w:rsidRPr="00816C6E" w:rsidRDefault="00ED4759" w:rsidP="00ED4759">
      <w:pPr>
        <w:spacing w:after="0" w:line="360" w:lineRule="exact"/>
        <w:ind w:firstLine="567"/>
        <w:jc w:val="both"/>
        <w:rPr>
          <w:rFonts w:ascii="Times New Roman" w:hAnsi="Times New Roman" w:cs="Times New Roman"/>
          <w:color w:val="000000"/>
          <w:sz w:val="26"/>
          <w:szCs w:val="26"/>
        </w:rPr>
      </w:pPr>
    </w:p>
    <w:p w14:paraId="1E5C53CC" w14:textId="77777777" w:rsidR="00ED4759" w:rsidRPr="00816C6E" w:rsidRDefault="00D94758" w:rsidP="00ED4759">
      <w:pPr>
        <w:spacing w:after="0" w:line="360" w:lineRule="exact"/>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Data Analysis</w:t>
      </w:r>
    </w:p>
    <w:p w14:paraId="5707838D"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The outer model test assesses the correlations among the indicators used in the research via PLS-SEM. The criteria we use to test the outer model are construct reliability, discriminant validity, and convergent validity. Based on the convergent validity test, each questionnaire item is considered valid if its loading is &gt; 0.7 and its Average Variance Extracted (AVE) is &gt; 0.5 (</w:t>
      </w:r>
      <w:proofErr w:type="spellStart"/>
      <w:r w:rsidRPr="00816C6E">
        <w:rPr>
          <w:rFonts w:ascii="Times New Roman" w:hAnsi="Times New Roman" w:cs="Times New Roman"/>
          <w:color w:val="000000"/>
          <w:sz w:val="26"/>
          <w:szCs w:val="26"/>
        </w:rPr>
        <w:t>Fornell</w:t>
      </w:r>
      <w:proofErr w:type="spellEnd"/>
      <w:r w:rsidRPr="00816C6E">
        <w:rPr>
          <w:rFonts w:ascii="Times New Roman" w:hAnsi="Times New Roman" w:cs="Times New Roman"/>
          <w:color w:val="000000"/>
          <w:sz w:val="26"/>
          <w:szCs w:val="26"/>
        </w:rPr>
        <w:t xml:space="preserve"> &amp; </w:t>
      </w:r>
      <w:proofErr w:type="spellStart"/>
      <w:r w:rsidRPr="00816C6E">
        <w:rPr>
          <w:rFonts w:ascii="Times New Roman" w:hAnsi="Times New Roman" w:cs="Times New Roman"/>
          <w:color w:val="000000"/>
          <w:sz w:val="26"/>
          <w:szCs w:val="26"/>
        </w:rPr>
        <w:t>Larcker</w:t>
      </w:r>
      <w:proofErr w:type="spellEnd"/>
      <w:r w:rsidRPr="00816C6E">
        <w:rPr>
          <w:rFonts w:ascii="Times New Roman" w:hAnsi="Times New Roman" w:cs="Times New Roman"/>
          <w:color w:val="000000"/>
          <w:sz w:val="26"/>
          <w:szCs w:val="26"/>
        </w:rPr>
        <w:t xml:space="preserve">, 1981). Table 1 presents the loadings, AVE’s, Composite Reliability (CR), and Cronbach’s Alpha (CA) values, computed using </w:t>
      </w:r>
      <w:proofErr w:type="spellStart"/>
      <w:r w:rsidRPr="00816C6E">
        <w:rPr>
          <w:rFonts w:ascii="Times New Roman" w:hAnsi="Times New Roman" w:cs="Times New Roman"/>
          <w:color w:val="000000"/>
          <w:sz w:val="26"/>
          <w:szCs w:val="26"/>
        </w:rPr>
        <w:t>SmartPLS</w:t>
      </w:r>
      <w:proofErr w:type="spellEnd"/>
      <w:r w:rsidRPr="00816C6E">
        <w:rPr>
          <w:rFonts w:ascii="Times New Roman" w:hAnsi="Times New Roman" w:cs="Times New Roman"/>
          <w:color w:val="000000"/>
          <w:sz w:val="26"/>
          <w:szCs w:val="26"/>
        </w:rPr>
        <w:t xml:space="preserve"> 3.30. </w:t>
      </w:r>
    </w:p>
    <w:p w14:paraId="564E9086" w14:textId="77777777" w:rsidR="00ED4759" w:rsidRPr="00816C6E" w:rsidRDefault="00ED4759" w:rsidP="00ED4759">
      <w:pPr>
        <w:spacing w:after="0" w:line="360" w:lineRule="exact"/>
        <w:ind w:firstLine="567"/>
        <w:jc w:val="both"/>
        <w:rPr>
          <w:rFonts w:ascii="Times New Roman" w:hAnsi="Times New Roman" w:cs="Times New Roman"/>
          <w:color w:val="000000"/>
          <w:sz w:val="26"/>
          <w:szCs w:val="26"/>
        </w:rPr>
      </w:pPr>
    </w:p>
    <w:p w14:paraId="1F0B542D" w14:textId="77777777" w:rsidR="005F594D" w:rsidRDefault="00D94758">
      <w:pPr>
        <w:spacing w:after="0" w:line="276" w:lineRule="auto"/>
        <w:ind w:left="425" w:right="425" w:firstLine="284"/>
        <w:jc w:val="both"/>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br w:type="page"/>
      </w:r>
    </w:p>
    <w:p w14:paraId="10A9009E" w14:textId="77777777" w:rsidR="00ED4759" w:rsidRPr="00816C6E" w:rsidRDefault="00D94758" w:rsidP="00ED4759">
      <w:pPr>
        <w:spacing w:after="0" w:line="240" w:lineRule="auto"/>
        <w:rPr>
          <w:rFonts w:ascii="Times New Roman" w:hAnsi="Times New Roman" w:cs="Times New Roman"/>
          <w:i/>
          <w:iCs/>
          <w:color w:val="000000" w:themeColor="text1"/>
          <w:sz w:val="26"/>
          <w:szCs w:val="26"/>
        </w:rPr>
      </w:pPr>
      <w:r w:rsidRPr="00816C6E">
        <w:rPr>
          <w:rFonts w:ascii="Times New Roman" w:hAnsi="Times New Roman" w:cs="Times New Roman"/>
          <w:b/>
          <w:bCs/>
          <w:color w:val="000000" w:themeColor="text1"/>
          <w:sz w:val="26"/>
          <w:szCs w:val="26"/>
        </w:rPr>
        <w:t xml:space="preserve">Table 1 </w:t>
      </w:r>
      <w:r w:rsidRPr="00816C6E">
        <w:rPr>
          <w:rFonts w:ascii="Times New Roman" w:hAnsi="Times New Roman" w:cs="Times New Roman"/>
          <w:i/>
          <w:iCs/>
          <w:color w:val="000000" w:themeColor="text1"/>
          <w:sz w:val="26"/>
          <w:szCs w:val="26"/>
        </w:rPr>
        <w:t>Measurement Model: Loading Factor</w:t>
      </w:r>
      <w:r w:rsidR="007C5CC3">
        <w:rPr>
          <w:rFonts w:ascii="Times New Roman" w:hAnsi="Times New Roman" w:cs="Times New Roman"/>
          <w:i/>
          <w:iCs/>
          <w:color w:val="000000" w:themeColor="text1"/>
          <w:sz w:val="26"/>
          <w:szCs w:val="26"/>
        </w:rPr>
        <w:t>s</w:t>
      </w:r>
      <w:r w:rsidRPr="00816C6E">
        <w:rPr>
          <w:rFonts w:ascii="Times New Roman" w:hAnsi="Times New Roman" w:cs="Times New Roman"/>
          <w:i/>
          <w:iCs/>
          <w:color w:val="000000" w:themeColor="text1"/>
          <w:sz w:val="26"/>
          <w:szCs w:val="26"/>
        </w:rPr>
        <w:t>, Composite Reliability, and Convergent Validity</w:t>
      </w:r>
    </w:p>
    <w:tbl>
      <w:tblPr>
        <w:tblStyle w:val="TableGrid1"/>
        <w:tblW w:w="9081" w:type="dxa"/>
        <w:tblInd w:w="-1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3"/>
        <w:gridCol w:w="1070"/>
        <w:gridCol w:w="756"/>
        <w:gridCol w:w="756"/>
        <w:gridCol w:w="756"/>
      </w:tblGrid>
      <w:tr w:rsidR="00931359" w14:paraId="2A599018" w14:textId="77777777" w:rsidTr="000C3CC7">
        <w:trPr>
          <w:trHeight w:val="295"/>
          <w:tblHeader/>
        </w:trPr>
        <w:tc>
          <w:tcPr>
            <w:tcW w:w="5743" w:type="dxa"/>
            <w:tcBorders>
              <w:top w:val="single" w:sz="4" w:space="0" w:color="auto"/>
              <w:bottom w:val="single" w:sz="4" w:space="0" w:color="auto"/>
            </w:tcBorders>
            <w:vAlign w:val="center"/>
          </w:tcPr>
          <w:p w14:paraId="3E895EB4" w14:textId="77777777" w:rsidR="00ED4759" w:rsidRPr="00816C6E" w:rsidRDefault="00D94758" w:rsidP="000C3CC7">
            <w:pPr>
              <w:jc w:val="center"/>
              <w:rPr>
                <w:rFonts w:ascii="Times New Roman" w:hAnsi="Times New Roman" w:cs="Times New Roman"/>
                <w:b/>
                <w:bCs/>
              </w:rPr>
            </w:pPr>
            <w:r w:rsidRPr="00816C6E">
              <w:rPr>
                <w:rFonts w:ascii="Times New Roman" w:hAnsi="Times New Roman" w:cs="Times New Roman"/>
                <w:b/>
                <w:bCs/>
              </w:rPr>
              <w:t>Items Indicator</w:t>
            </w:r>
          </w:p>
        </w:tc>
        <w:tc>
          <w:tcPr>
            <w:tcW w:w="1070" w:type="dxa"/>
            <w:tcBorders>
              <w:top w:val="single" w:sz="4" w:space="0" w:color="auto"/>
              <w:bottom w:val="single" w:sz="4" w:space="0" w:color="auto"/>
            </w:tcBorders>
            <w:vAlign w:val="center"/>
          </w:tcPr>
          <w:p w14:paraId="3702E6CC" w14:textId="77777777" w:rsidR="00ED4759" w:rsidRPr="00816C6E" w:rsidRDefault="00D94758" w:rsidP="000C3CC7">
            <w:pPr>
              <w:jc w:val="center"/>
              <w:rPr>
                <w:rFonts w:ascii="Times New Roman" w:hAnsi="Times New Roman" w:cs="Times New Roman"/>
                <w:b/>
                <w:bCs/>
              </w:rPr>
            </w:pPr>
            <w:r w:rsidRPr="00816C6E">
              <w:rPr>
                <w:rFonts w:ascii="Times New Roman" w:hAnsi="Times New Roman" w:cs="Times New Roman"/>
                <w:b/>
                <w:bCs/>
              </w:rPr>
              <w:t>Item Loading</w:t>
            </w:r>
          </w:p>
        </w:tc>
        <w:tc>
          <w:tcPr>
            <w:tcW w:w="756" w:type="dxa"/>
            <w:tcBorders>
              <w:top w:val="single" w:sz="4" w:space="0" w:color="auto"/>
              <w:bottom w:val="single" w:sz="4" w:space="0" w:color="auto"/>
            </w:tcBorders>
            <w:vAlign w:val="center"/>
          </w:tcPr>
          <w:p w14:paraId="055CFDEC" w14:textId="77777777" w:rsidR="00ED4759" w:rsidRPr="00816C6E" w:rsidRDefault="00D94758" w:rsidP="000C3CC7">
            <w:pPr>
              <w:jc w:val="center"/>
              <w:rPr>
                <w:rFonts w:ascii="Times New Roman" w:hAnsi="Times New Roman" w:cs="Times New Roman"/>
                <w:b/>
                <w:bCs/>
              </w:rPr>
            </w:pPr>
            <w:r w:rsidRPr="00816C6E">
              <w:rPr>
                <w:rFonts w:ascii="Times New Roman" w:hAnsi="Times New Roman" w:cs="Times New Roman"/>
                <w:b/>
                <w:bCs/>
              </w:rPr>
              <w:t>CA</w:t>
            </w:r>
          </w:p>
        </w:tc>
        <w:tc>
          <w:tcPr>
            <w:tcW w:w="756" w:type="dxa"/>
            <w:tcBorders>
              <w:top w:val="single" w:sz="4" w:space="0" w:color="auto"/>
              <w:bottom w:val="single" w:sz="4" w:space="0" w:color="auto"/>
            </w:tcBorders>
            <w:vAlign w:val="center"/>
          </w:tcPr>
          <w:p w14:paraId="5B860A18" w14:textId="77777777" w:rsidR="00ED4759" w:rsidRPr="00816C6E" w:rsidRDefault="00D94758" w:rsidP="000C3CC7">
            <w:pPr>
              <w:jc w:val="center"/>
              <w:rPr>
                <w:rFonts w:ascii="Times New Roman" w:hAnsi="Times New Roman" w:cs="Times New Roman"/>
                <w:b/>
                <w:bCs/>
              </w:rPr>
            </w:pPr>
            <w:r w:rsidRPr="00816C6E">
              <w:rPr>
                <w:rFonts w:ascii="Times New Roman" w:hAnsi="Times New Roman" w:cs="Times New Roman"/>
                <w:b/>
                <w:bCs/>
              </w:rPr>
              <w:t>CR</w:t>
            </w:r>
          </w:p>
        </w:tc>
        <w:tc>
          <w:tcPr>
            <w:tcW w:w="756" w:type="dxa"/>
            <w:tcBorders>
              <w:top w:val="single" w:sz="4" w:space="0" w:color="auto"/>
              <w:bottom w:val="single" w:sz="4" w:space="0" w:color="auto"/>
            </w:tcBorders>
            <w:vAlign w:val="center"/>
          </w:tcPr>
          <w:p w14:paraId="403E1FDF" w14:textId="77777777" w:rsidR="00ED4759" w:rsidRPr="00816C6E" w:rsidRDefault="00D94758" w:rsidP="000C3CC7">
            <w:pPr>
              <w:jc w:val="center"/>
              <w:rPr>
                <w:rFonts w:ascii="Times New Roman" w:hAnsi="Times New Roman" w:cs="Times New Roman"/>
                <w:b/>
                <w:bCs/>
              </w:rPr>
            </w:pPr>
            <w:r w:rsidRPr="00816C6E">
              <w:rPr>
                <w:rFonts w:ascii="Times New Roman" w:hAnsi="Times New Roman" w:cs="Times New Roman"/>
                <w:b/>
                <w:bCs/>
              </w:rPr>
              <w:t>AVE</w:t>
            </w:r>
          </w:p>
        </w:tc>
      </w:tr>
      <w:tr w:rsidR="00931359" w14:paraId="2F53A903" w14:textId="77777777" w:rsidTr="000C3CC7">
        <w:trPr>
          <w:trHeight w:val="295"/>
        </w:trPr>
        <w:tc>
          <w:tcPr>
            <w:tcW w:w="9081" w:type="dxa"/>
            <w:gridSpan w:val="5"/>
            <w:tcBorders>
              <w:top w:val="single" w:sz="4" w:space="0" w:color="auto"/>
            </w:tcBorders>
          </w:tcPr>
          <w:p w14:paraId="48F9B9A4" w14:textId="77777777" w:rsidR="00ED4759" w:rsidRPr="005E694C" w:rsidRDefault="00D94758" w:rsidP="000C3CC7">
            <w:pPr>
              <w:rPr>
                <w:rFonts w:ascii="Times New Roman" w:hAnsi="Times New Roman" w:cs="Times New Roman"/>
                <w:b/>
                <w:bCs/>
              </w:rPr>
            </w:pPr>
            <w:r w:rsidRPr="005E694C">
              <w:rPr>
                <w:rFonts w:ascii="Times New Roman" w:hAnsi="Times New Roman" w:cs="Times New Roman"/>
                <w:b/>
                <w:bCs/>
              </w:rPr>
              <w:t>Brand Engagement</w:t>
            </w:r>
          </w:p>
        </w:tc>
      </w:tr>
      <w:tr w:rsidR="00931359" w14:paraId="33ADE24A" w14:textId="77777777" w:rsidTr="000C3CC7">
        <w:trPr>
          <w:trHeight w:val="295"/>
        </w:trPr>
        <w:tc>
          <w:tcPr>
            <w:tcW w:w="5743" w:type="dxa"/>
          </w:tcPr>
          <w:p w14:paraId="3787A92A" w14:textId="77777777" w:rsidR="00ED4759" w:rsidRPr="005E694C" w:rsidRDefault="00D94758" w:rsidP="000C3CC7">
            <w:pPr>
              <w:rPr>
                <w:rFonts w:ascii="Times New Roman" w:hAnsi="Times New Roman" w:cs="Times New Roman"/>
              </w:rPr>
            </w:pPr>
            <w:r w:rsidRPr="005E694C">
              <w:rPr>
                <w:rFonts w:ascii="Times New Roman" w:hAnsi="Times New Roman" w:cs="Times New Roman"/>
              </w:rPr>
              <w:t>I feel very positive when using brand X’s social commerce. (OBE4)</w:t>
            </w:r>
          </w:p>
        </w:tc>
        <w:tc>
          <w:tcPr>
            <w:tcW w:w="1070" w:type="dxa"/>
            <w:vAlign w:val="center"/>
          </w:tcPr>
          <w:p w14:paraId="6A717843"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0.710</w:t>
            </w:r>
          </w:p>
        </w:tc>
        <w:tc>
          <w:tcPr>
            <w:tcW w:w="756" w:type="dxa"/>
            <w:vMerge w:val="restart"/>
            <w:tcBorders>
              <w:top w:val="nil"/>
              <w:left w:val="nil"/>
              <w:bottom w:val="nil"/>
              <w:right w:val="nil"/>
            </w:tcBorders>
            <w:vAlign w:val="center"/>
          </w:tcPr>
          <w:p w14:paraId="1E1F9189"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color w:val="000000"/>
              </w:rPr>
              <w:t>0.869</w:t>
            </w:r>
          </w:p>
        </w:tc>
        <w:tc>
          <w:tcPr>
            <w:tcW w:w="756" w:type="dxa"/>
            <w:vMerge w:val="restart"/>
            <w:tcBorders>
              <w:top w:val="nil"/>
              <w:left w:val="nil"/>
              <w:bottom w:val="nil"/>
              <w:right w:val="nil"/>
            </w:tcBorders>
            <w:vAlign w:val="center"/>
          </w:tcPr>
          <w:p w14:paraId="3C1EFD87"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color w:val="000000"/>
              </w:rPr>
              <w:t>0.905</w:t>
            </w:r>
          </w:p>
        </w:tc>
        <w:tc>
          <w:tcPr>
            <w:tcW w:w="756" w:type="dxa"/>
            <w:vMerge w:val="restart"/>
            <w:tcBorders>
              <w:top w:val="nil"/>
              <w:left w:val="nil"/>
              <w:bottom w:val="nil"/>
              <w:right w:val="nil"/>
            </w:tcBorders>
            <w:vAlign w:val="center"/>
          </w:tcPr>
          <w:p w14:paraId="0BF0E5D5"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color w:val="000000"/>
              </w:rPr>
              <w:t>0.658</w:t>
            </w:r>
          </w:p>
        </w:tc>
      </w:tr>
      <w:tr w:rsidR="00931359" w14:paraId="3765EAA1" w14:textId="77777777" w:rsidTr="000C3CC7">
        <w:trPr>
          <w:trHeight w:val="285"/>
        </w:trPr>
        <w:tc>
          <w:tcPr>
            <w:tcW w:w="5743" w:type="dxa"/>
          </w:tcPr>
          <w:p w14:paraId="30CEF66B" w14:textId="77777777" w:rsidR="00ED4759" w:rsidRPr="005E694C" w:rsidRDefault="00D94758" w:rsidP="000C3CC7">
            <w:pPr>
              <w:rPr>
                <w:rFonts w:ascii="Times New Roman" w:hAnsi="Times New Roman" w:cs="Times New Roman"/>
              </w:rPr>
            </w:pPr>
            <w:r w:rsidRPr="005E694C">
              <w:rPr>
                <w:rFonts w:ascii="Times New Roman" w:hAnsi="Times New Roman" w:cs="Times New Roman"/>
              </w:rPr>
              <w:t>Using brand X’s social commerce makes me happy. (OBE5)</w:t>
            </w:r>
          </w:p>
        </w:tc>
        <w:tc>
          <w:tcPr>
            <w:tcW w:w="1070" w:type="dxa"/>
            <w:vAlign w:val="center"/>
          </w:tcPr>
          <w:p w14:paraId="0ED02FEE"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0.754</w:t>
            </w:r>
          </w:p>
        </w:tc>
        <w:tc>
          <w:tcPr>
            <w:tcW w:w="756" w:type="dxa"/>
            <w:vMerge/>
          </w:tcPr>
          <w:p w14:paraId="63CB74C2" w14:textId="77777777" w:rsidR="00ED4759" w:rsidRPr="00816C6E" w:rsidRDefault="00ED4759" w:rsidP="000C3CC7">
            <w:pPr>
              <w:rPr>
                <w:rFonts w:ascii="Times New Roman" w:hAnsi="Times New Roman" w:cs="Times New Roman"/>
              </w:rPr>
            </w:pPr>
          </w:p>
        </w:tc>
        <w:tc>
          <w:tcPr>
            <w:tcW w:w="756" w:type="dxa"/>
            <w:vMerge/>
          </w:tcPr>
          <w:p w14:paraId="0F4B1244" w14:textId="77777777" w:rsidR="00ED4759" w:rsidRPr="00816C6E" w:rsidRDefault="00ED4759" w:rsidP="000C3CC7">
            <w:pPr>
              <w:rPr>
                <w:rFonts w:ascii="Times New Roman" w:hAnsi="Times New Roman" w:cs="Times New Roman"/>
              </w:rPr>
            </w:pPr>
          </w:p>
        </w:tc>
        <w:tc>
          <w:tcPr>
            <w:tcW w:w="756" w:type="dxa"/>
            <w:vMerge/>
          </w:tcPr>
          <w:p w14:paraId="4E0881BC" w14:textId="77777777" w:rsidR="00ED4759" w:rsidRPr="00816C6E" w:rsidRDefault="00ED4759" w:rsidP="000C3CC7">
            <w:pPr>
              <w:rPr>
                <w:rFonts w:ascii="Times New Roman" w:hAnsi="Times New Roman" w:cs="Times New Roman"/>
              </w:rPr>
            </w:pPr>
          </w:p>
        </w:tc>
      </w:tr>
      <w:tr w:rsidR="00931359" w14:paraId="569CB61C" w14:textId="77777777" w:rsidTr="000C3CC7">
        <w:trPr>
          <w:trHeight w:val="295"/>
        </w:trPr>
        <w:tc>
          <w:tcPr>
            <w:tcW w:w="5743" w:type="dxa"/>
          </w:tcPr>
          <w:p w14:paraId="5BE6FA74" w14:textId="77777777" w:rsidR="00ED4759" w:rsidRPr="005E694C" w:rsidRDefault="00D94758" w:rsidP="000C3CC7">
            <w:pPr>
              <w:rPr>
                <w:rFonts w:ascii="Times New Roman" w:hAnsi="Times New Roman" w:cs="Times New Roman"/>
              </w:rPr>
            </w:pPr>
            <w:r w:rsidRPr="005E694C">
              <w:rPr>
                <w:rFonts w:ascii="Times New Roman" w:hAnsi="Times New Roman" w:cs="Times New Roman"/>
              </w:rPr>
              <w:t>I am proud to use brand X’s social commerce. (OBE7)</w:t>
            </w:r>
          </w:p>
        </w:tc>
        <w:tc>
          <w:tcPr>
            <w:tcW w:w="1070" w:type="dxa"/>
            <w:vAlign w:val="center"/>
          </w:tcPr>
          <w:p w14:paraId="4723176C"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0.807</w:t>
            </w:r>
          </w:p>
        </w:tc>
        <w:tc>
          <w:tcPr>
            <w:tcW w:w="756" w:type="dxa"/>
            <w:vMerge/>
          </w:tcPr>
          <w:p w14:paraId="28465790" w14:textId="77777777" w:rsidR="00ED4759" w:rsidRPr="00816C6E" w:rsidRDefault="00ED4759" w:rsidP="000C3CC7">
            <w:pPr>
              <w:rPr>
                <w:rFonts w:ascii="Times New Roman" w:hAnsi="Times New Roman" w:cs="Times New Roman"/>
              </w:rPr>
            </w:pPr>
          </w:p>
        </w:tc>
        <w:tc>
          <w:tcPr>
            <w:tcW w:w="756" w:type="dxa"/>
            <w:vMerge/>
          </w:tcPr>
          <w:p w14:paraId="2D99F42C" w14:textId="77777777" w:rsidR="00ED4759" w:rsidRPr="00816C6E" w:rsidRDefault="00ED4759" w:rsidP="000C3CC7">
            <w:pPr>
              <w:rPr>
                <w:rFonts w:ascii="Times New Roman" w:hAnsi="Times New Roman" w:cs="Times New Roman"/>
              </w:rPr>
            </w:pPr>
          </w:p>
        </w:tc>
        <w:tc>
          <w:tcPr>
            <w:tcW w:w="756" w:type="dxa"/>
            <w:vMerge/>
          </w:tcPr>
          <w:p w14:paraId="0639130E" w14:textId="77777777" w:rsidR="00ED4759" w:rsidRPr="00816C6E" w:rsidRDefault="00ED4759" w:rsidP="000C3CC7">
            <w:pPr>
              <w:rPr>
                <w:rFonts w:ascii="Times New Roman" w:hAnsi="Times New Roman" w:cs="Times New Roman"/>
              </w:rPr>
            </w:pPr>
          </w:p>
        </w:tc>
      </w:tr>
      <w:tr w:rsidR="00931359" w14:paraId="3223EA7E" w14:textId="77777777" w:rsidTr="000C3CC7">
        <w:trPr>
          <w:trHeight w:val="573"/>
        </w:trPr>
        <w:tc>
          <w:tcPr>
            <w:tcW w:w="5743" w:type="dxa"/>
          </w:tcPr>
          <w:p w14:paraId="55032896" w14:textId="77777777" w:rsidR="00ED4759" w:rsidRPr="005E694C" w:rsidRDefault="00D94758" w:rsidP="000C3CC7">
            <w:pPr>
              <w:rPr>
                <w:rFonts w:ascii="Times New Roman" w:hAnsi="Times New Roman" w:cs="Times New Roman"/>
              </w:rPr>
            </w:pPr>
            <w:r w:rsidRPr="005E694C">
              <w:rPr>
                <w:rFonts w:ascii="Times New Roman" w:hAnsi="Times New Roman" w:cs="Times New Roman"/>
              </w:rPr>
              <w:t xml:space="preserve">I spend more time using brand X's social commerce than other social commerce </w:t>
            </w:r>
            <w:proofErr w:type="gramStart"/>
            <w:r w:rsidRPr="005E694C">
              <w:rPr>
                <w:rFonts w:ascii="Times New Roman" w:hAnsi="Times New Roman" w:cs="Times New Roman"/>
              </w:rPr>
              <w:t>brands'</w:t>
            </w:r>
            <w:proofErr w:type="gramEnd"/>
            <w:r w:rsidRPr="005E694C">
              <w:rPr>
                <w:rFonts w:ascii="Times New Roman" w:hAnsi="Times New Roman" w:cs="Times New Roman"/>
              </w:rPr>
              <w:t>. (OBE8)</w:t>
            </w:r>
          </w:p>
        </w:tc>
        <w:tc>
          <w:tcPr>
            <w:tcW w:w="1070" w:type="dxa"/>
            <w:vAlign w:val="center"/>
          </w:tcPr>
          <w:p w14:paraId="7538E937"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0.825</w:t>
            </w:r>
          </w:p>
        </w:tc>
        <w:tc>
          <w:tcPr>
            <w:tcW w:w="756" w:type="dxa"/>
            <w:vMerge/>
          </w:tcPr>
          <w:p w14:paraId="2357E44F" w14:textId="77777777" w:rsidR="00ED4759" w:rsidRPr="00816C6E" w:rsidRDefault="00ED4759" w:rsidP="000C3CC7">
            <w:pPr>
              <w:rPr>
                <w:rFonts w:ascii="Times New Roman" w:hAnsi="Times New Roman" w:cs="Times New Roman"/>
              </w:rPr>
            </w:pPr>
          </w:p>
        </w:tc>
        <w:tc>
          <w:tcPr>
            <w:tcW w:w="756" w:type="dxa"/>
            <w:vMerge/>
          </w:tcPr>
          <w:p w14:paraId="7DDE71F4" w14:textId="77777777" w:rsidR="00ED4759" w:rsidRPr="00816C6E" w:rsidRDefault="00ED4759" w:rsidP="000C3CC7">
            <w:pPr>
              <w:rPr>
                <w:rFonts w:ascii="Times New Roman" w:hAnsi="Times New Roman" w:cs="Times New Roman"/>
              </w:rPr>
            </w:pPr>
          </w:p>
        </w:tc>
        <w:tc>
          <w:tcPr>
            <w:tcW w:w="756" w:type="dxa"/>
            <w:vMerge/>
          </w:tcPr>
          <w:p w14:paraId="59C693E0" w14:textId="77777777" w:rsidR="00ED4759" w:rsidRPr="00816C6E" w:rsidRDefault="00ED4759" w:rsidP="000C3CC7">
            <w:pPr>
              <w:rPr>
                <w:rFonts w:ascii="Times New Roman" w:hAnsi="Times New Roman" w:cs="Times New Roman"/>
              </w:rPr>
            </w:pPr>
          </w:p>
        </w:tc>
      </w:tr>
      <w:tr w:rsidR="00931359" w14:paraId="7CF571A8" w14:textId="77777777" w:rsidTr="000C3CC7">
        <w:trPr>
          <w:trHeight w:val="583"/>
        </w:trPr>
        <w:tc>
          <w:tcPr>
            <w:tcW w:w="5743" w:type="dxa"/>
          </w:tcPr>
          <w:p w14:paraId="26E7AFC1" w14:textId="77777777" w:rsidR="00ED4759" w:rsidRPr="005E694C" w:rsidRDefault="00D94758" w:rsidP="000C3CC7">
            <w:pPr>
              <w:rPr>
                <w:rFonts w:ascii="Times New Roman" w:hAnsi="Times New Roman" w:cs="Times New Roman"/>
              </w:rPr>
            </w:pPr>
            <w:r w:rsidRPr="005E694C">
              <w:rPr>
                <w:rFonts w:ascii="Times New Roman" w:hAnsi="Times New Roman" w:cs="Times New Roman"/>
              </w:rPr>
              <w:t>Whenever I use social commerce services, I use brand X’s social commerce. (OBE9)</w:t>
            </w:r>
          </w:p>
        </w:tc>
        <w:tc>
          <w:tcPr>
            <w:tcW w:w="1070" w:type="dxa"/>
            <w:vAlign w:val="center"/>
          </w:tcPr>
          <w:p w14:paraId="214E39A2"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0.835</w:t>
            </w:r>
          </w:p>
        </w:tc>
        <w:tc>
          <w:tcPr>
            <w:tcW w:w="756" w:type="dxa"/>
            <w:vMerge/>
          </w:tcPr>
          <w:p w14:paraId="5105D05F" w14:textId="77777777" w:rsidR="00ED4759" w:rsidRPr="00816C6E" w:rsidRDefault="00ED4759" w:rsidP="000C3CC7">
            <w:pPr>
              <w:rPr>
                <w:rFonts w:ascii="Times New Roman" w:hAnsi="Times New Roman" w:cs="Times New Roman"/>
              </w:rPr>
            </w:pPr>
          </w:p>
        </w:tc>
        <w:tc>
          <w:tcPr>
            <w:tcW w:w="756" w:type="dxa"/>
            <w:vMerge/>
          </w:tcPr>
          <w:p w14:paraId="6717A227" w14:textId="77777777" w:rsidR="00ED4759" w:rsidRPr="00816C6E" w:rsidRDefault="00ED4759" w:rsidP="000C3CC7">
            <w:pPr>
              <w:rPr>
                <w:rFonts w:ascii="Times New Roman" w:hAnsi="Times New Roman" w:cs="Times New Roman"/>
              </w:rPr>
            </w:pPr>
          </w:p>
        </w:tc>
        <w:tc>
          <w:tcPr>
            <w:tcW w:w="756" w:type="dxa"/>
            <w:vMerge/>
          </w:tcPr>
          <w:p w14:paraId="10B4A39D" w14:textId="77777777" w:rsidR="00ED4759" w:rsidRPr="00816C6E" w:rsidRDefault="00ED4759" w:rsidP="000C3CC7">
            <w:pPr>
              <w:rPr>
                <w:rFonts w:ascii="Times New Roman" w:hAnsi="Times New Roman" w:cs="Times New Roman"/>
              </w:rPr>
            </w:pPr>
          </w:p>
        </w:tc>
      </w:tr>
      <w:tr w:rsidR="00931359" w14:paraId="43A23783" w14:textId="77777777" w:rsidTr="000C3CC7">
        <w:trPr>
          <w:trHeight w:val="285"/>
        </w:trPr>
        <w:tc>
          <w:tcPr>
            <w:tcW w:w="9081" w:type="dxa"/>
            <w:gridSpan w:val="5"/>
            <w:vAlign w:val="center"/>
          </w:tcPr>
          <w:p w14:paraId="6F164000" w14:textId="77777777" w:rsidR="00ED4759" w:rsidRPr="00816C6E" w:rsidRDefault="00D94758" w:rsidP="000C3CC7">
            <w:pPr>
              <w:rPr>
                <w:rFonts w:ascii="Times New Roman" w:hAnsi="Times New Roman" w:cs="Times New Roman"/>
                <w:b/>
                <w:bCs/>
              </w:rPr>
            </w:pPr>
            <w:r w:rsidRPr="00816C6E">
              <w:rPr>
                <w:rFonts w:ascii="Times New Roman" w:hAnsi="Times New Roman" w:cs="Times New Roman"/>
                <w:b/>
                <w:bCs/>
              </w:rPr>
              <w:t>Brand Experience</w:t>
            </w:r>
          </w:p>
        </w:tc>
      </w:tr>
      <w:tr w:rsidR="00931359" w14:paraId="68D8BE50" w14:textId="77777777" w:rsidTr="000C3CC7">
        <w:trPr>
          <w:trHeight w:val="295"/>
        </w:trPr>
        <w:tc>
          <w:tcPr>
            <w:tcW w:w="5743" w:type="dxa"/>
          </w:tcPr>
          <w:p w14:paraId="41386BA4"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makes a strong impression on my visual sense. (SEN1)</w:t>
            </w:r>
          </w:p>
        </w:tc>
        <w:tc>
          <w:tcPr>
            <w:tcW w:w="1070" w:type="dxa"/>
            <w:vAlign w:val="center"/>
          </w:tcPr>
          <w:p w14:paraId="2C863E42"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0.724</w:t>
            </w:r>
          </w:p>
        </w:tc>
        <w:tc>
          <w:tcPr>
            <w:tcW w:w="756" w:type="dxa"/>
            <w:vMerge w:val="restart"/>
            <w:vAlign w:val="center"/>
          </w:tcPr>
          <w:p w14:paraId="350F2EFD"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0.929</w:t>
            </w:r>
          </w:p>
        </w:tc>
        <w:tc>
          <w:tcPr>
            <w:tcW w:w="756" w:type="dxa"/>
            <w:vMerge w:val="restart"/>
            <w:vAlign w:val="center"/>
          </w:tcPr>
          <w:p w14:paraId="228A5E8D"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0.941</w:t>
            </w:r>
          </w:p>
        </w:tc>
        <w:tc>
          <w:tcPr>
            <w:tcW w:w="756" w:type="dxa"/>
            <w:vMerge w:val="restart"/>
            <w:vAlign w:val="center"/>
          </w:tcPr>
          <w:p w14:paraId="315A1B5E"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0.640</w:t>
            </w:r>
          </w:p>
        </w:tc>
      </w:tr>
      <w:tr w:rsidR="00931359" w14:paraId="05E17D91" w14:textId="77777777" w:rsidTr="000C3CC7">
        <w:trPr>
          <w:trHeight w:val="285"/>
        </w:trPr>
        <w:tc>
          <w:tcPr>
            <w:tcW w:w="5743" w:type="dxa"/>
          </w:tcPr>
          <w:p w14:paraId="5E09E2BF"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find my brand X’s social commerce interesting in a sensory way. (SEN2)</w:t>
            </w:r>
          </w:p>
        </w:tc>
        <w:tc>
          <w:tcPr>
            <w:tcW w:w="1070" w:type="dxa"/>
            <w:vAlign w:val="center"/>
          </w:tcPr>
          <w:p w14:paraId="3C4C9181"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0.701</w:t>
            </w:r>
          </w:p>
        </w:tc>
        <w:tc>
          <w:tcPr>
            <w:tcW w:w="756" w:type="dxa"/>
            <w:vMerge/>
          </w:tcPr>
          <w:p w14:paraId="6076CCB7" w14:textId="77777777" w:rsidR="00ED4759" w:rsidRPr="00816C6E" w:rsidRDefault="00ED4759" w:rsidP="000C3CC7">
            <w:pPr>
              <w:rPr>
                <w:rFonts w:ascii="Times New Roman" w:hAnsi="Times New Roman" w:cs="Times New Roman"/>
              </w:rPr>
            </w:pPr>
          </w:p>
        </w:tc>
        <w:tc>
          <w:tcPr>
            <w:tcW w:w="756" w:type="dxa"/>
            <w:vMerge/>
          </w:tcPr>
          <w:p w14:paraId="489873ED" w14:textId="77777777" w:rsidR="00ED4759" w:rsidRPr="00816C6E" w:rsidRDefault="00ED4759" w:rsidP="000C3CC7">
            <w:pPr>
              <w:rPr>
                <w:rFonts w:ascii="Times New Roman" w:hAnsi="Times New Roman" w:cs="Times New Roman"/>
              </w:rPr>
            </w:pPr>
          </w:p>
        </w:tc>
        <w:tc>
          <w:tcPr>
            <w:tcW w:w="756" w:type="dxa"/>
            <w:vMerge/>
          </w:tcPr>
          <w:p w14:paraId="1BA43712" w14:textId="77777777" w:rsidR="00ED4759" w:rsidRPr="00816C6E" w:rsidRDefault="00ED4759" w:rsidP="000C3CC7">
            <w:pPr>
              <w:rPr>
                <w:rFonts w:ascii="Times New Roman" w:hAnsi="Times New Roman" w:cs="Times New Roman"/>
              </w:rPr>
            </w:pPr>
          </w:p>
        </w:tc>
      </w:tr>
      <w:tr w:rsidR="00931359" w14:paraId="10E52661" w14:textId="77777777" w:rsidTr="000C3CC7">
        <w:trPr>
          <w:trHeight w:val="285"/>
        </w:trPr>
        <w:tc>
          <w:tcPr>
            <w:tcW w:w="5743" w:type="dxa"/>
          </w:tcPr>
          <w:p w14:paraId="369AD6DA"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do not have strong emotions for brand X’s social commerce. (AFF2)</w:t>
            </w:r>
          </w:p>
        </w:tc>
        <w:tc>
          <w:tcPr>
            <w:tcW w:w="1070" w:type="dxa"/>
            <w:vAlign w:val="center"/>
          </w:tcPr>
          <w:p w14:paraId="6D31455B"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0.760</w:t>
            </w:r>
          </w:p>
        </w:tc>
        <w:tc>
          <w:tcPr>
            <w:tcW w:w="756" w:type="dxa"/>
            <w:vMerge/>
          </w:tcPr>
          <w:p w14:paraId="163E9DEF" w14:textId="77777777" w:rsidR="00ED4759" w:rsidRPr="00816C6E" w:rsidRDefault="00ED4759" w:rsidP="000C3CC7">
            <w:pPr>
              <w:rPr>
                <w:rFonts w:ascii="Times New Roman" w:hAnsi="Times New Roman" w:cs="Times New Roman"/>
              </w:rPr>
            </w:pPr>
          </w:p>
        </w:tc>
        <w:tc>
          <w:tcPr>
            <w:tcW w:w="756" w:type="dxa"/>
            <w:vMerge/>
          </w:tcPr>
          <w:p w14:paraId="7B3DA69F" w14:textId="77777777" w:rsidR="00ED4759" w:rsidRPr="00816C6E" w:rsidRDefault="00ED4759" w:rsidP="000C3CC7">
            <w:pPr>
              <w:rPr>
                <w:rFonts w:ascii="Times New Roman" w:hAnsi="Times New Roman" w:cs="Times New Roman"/>
              </w:rPr>
            </w:pPr>
          </w:p>
        </w:tc>
        <w:tc>
          <w:tcPr>
            <w:tcW w:w="756" w:type="dxa"/>
            <w:vMerge/>
          </w:tcPr>
          <w:p w14:paraId="072E28F0" w14:textId="77777777" w:rsidR="00ED4759" w:rsidRPr="00816C6E" w:rsidRDefault="00ED4759" w:rsidP="000C3CC7">
            <w:pPr>
              <w:rPr>
                <w:rFonts w:ascii="Times New Roman" w:hAnsi="Times New Roman" w:cs="Times New Roman"/>
              </w:rPr>
            </w:pPr>
          </w:p>
        </w:tc>
      </w:tr>
      <w:tr w:rsidR="00931359" w14:paraId="7C6601AA" w14:textId="77777777" w:rsidTr="000C3CC7">
        <w:trPr>
          <w:trHeight w:val="285"/>
        </w:trPr>
        <w:tc>
          <w:tcPr>
            <w:tcW w:w="5743" w:type="dxa"/>
          </w:tcPr>
          <w:p w14:paraId="41FE0AA4"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is an emotional brand. (AFF3)</w:t>
            </w:r>
          </w:p>
        </w:tc>
        <w:tc>
          <w:tcPr>
            <w:tcW w:w="1070" w:type="dxa"/>
            <w:vAlign w:val="center"/>
          </w:tcPr>
          <w:p w14:paraId="49EB0048"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0.810</w:t>
            </w:r>
          </w:p>
        </w:tc>
        <w:tc>
          <w:tcPr>
            <w:tcW w:w="756" w:type="dxa"/>
            <w:vMerge/>
          </w:tcPr>
          <w:p w14:paraId="5776A7AA" w14:textId="77777777" w:rsidR="00ED4759" w:rsidRPr="00816C6E" w:rsidRDefault="00ED4759" w:rsidP="000C3CC7">
            <w:pPr>
              <w:rPr>
                <w:rFonts w:ascii="Times New Roman" w:hAnsi="Times New Roman" w:cs="Times New Roman"/>
              </w:rPr>
            </w:pPr>
          </w:p>
        </w:tc>
        <w:tc>
          <w:tcPr>
            <w:tcW w:w="756" w:type="dxa"/>
            <w:vMerge/>
          </w:tcPr>
          <w:p w14:paraId="7E0B18F8" w14:textId="77777777" w:rsidR="00ED4759" w:rsidRPr="00816C6E" w:rsidRDefault="00ED4759" w:rsidP="000C3CC7">
            <w:pPr>
              <w:rPr>
                <w:rFonts w:ascii="Times New Roman" w:hAnsi="Times New Roman" w:cs="Times New Roman"/>
              </w:rPr>
            </w:pPr>
          </w:p>
        </w:tc>
        <w:tc>
          <w:tcPr>
            <w:tcW w:w="756" w:type="dxa"/>
            <w:vMerge/>
          </w:tcPr>
          <w:p w14:paraId="0AC9D7BC" w14:textId="77777777" w:rsidR="00ED4759" w:rsidRPr="00816C6E" w:rsidRDefault="00ED4759" w:rsidP="000C3CC7">
            <w:pPr>
              <w:rPr>
                <w:rFonts w:ascii="Times New Roman" w:hAnsi="Times New Roman" w:cs="Times New Roman"/>
              </w:rPr>
            </w:pPr>
          </w:p>
        </w:tc>
      </w:tr>
      <w:tr w:rsidR="00931359" w14:paraId="0A6A72BC" w14:textId="77777777" w:rsidTr="000C3CC7">
        <w:trPr>
          <w:trHeight w:val="321"/>
        </w:trPr>
        <w:tc>
          <w:tcPr>
            <w:tcW w:w="5743" w:type="dxa"/>
          </w:tcPr>
          <w:p w14:paraId="705AC3B3"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engage in physical actions and behaviors when using brand X’s social commerce services. (BEH1)</w:t>
            </w:r>
          </w:p>
        </w:tc>
        <w:tc>
          <w:tcPr>
            <w:tcW w:w="1070" w:type="dxa"/>
            <w:vAlign w:val="center"/>
          </w:tcPr>
          <w:p w14:paraId="6512AE6C"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0.848</w:t>
            </w:r>
          </w:p>
        </w:tc>
        <w:tc>
          <w:tcPr>
            <w:tcW w:w="756" w:type="dxa"/>
            <w:vMerge/>
          </w:tcPr>
          <w:p w14:paraId="18BA63F1" w14:textId="77777777" w:rsidR="00ED4759" w:rsidRPr="00816C6E" w:rsidRDefault="00ED4759" w:rsidP="000C3CC7">
            <w:pPr>
              <w:rPr>
                <w:rFonts w:ascii="Times New Roman" w:hAnsi="Times New Roman" w:cs="Times New Roman"/>
              </w:rPr>
            </w:pPr>
          </w:p>
        </w:tc>
        <w:tc>
          <w:tcPr>
            <w:tcW w:w="756" w:type="dxa"/>
            <w:vMerge/>
          </w:tcPr>
          <w:p w14:paraId="4198CDF2" w14:textId="77777777" w:rsidR="00ED4759" w:rsidRPr="00816C6E" w:rsidRDefault="00ED4759" w:rsidP="000C3CC7">
            <w:pPr>
              <w:rPr>
                <w:rFonts w:ascii="Times New Roman" w:hAnsi="Times New Roman" w:cs="Times New Roman"/>
              </w:rPr>
            </w:pPr>
          </w:p>
        </w:tc>
        <w:tc>
          <w:tcPr>
            <w:tcW w:w="756" w:type="dxa"/>
            <w:vMerge/>
          </w:tcPr>
          <w:p w14:paraId="1E219C00" w14:textId="77777777" w:rsidR="00ED4759" w:rsidRPr="00816C6E" w:rsidRDefault="00ED4759" w:rsidP="000C3CC7">
            <w:pPr>
              <w:rPr>
                <w:rFonts w:ascii="Times New Roman" w:hAnsi="Times New Roman" w:cs="Times New Roman"/>
              </w:rPr>
            </w:pPr>
          </w:p>
        </w:tc>
      </w:tr>
      <w:tr w:rsidR="00931359" w14:paraId="000062DC" w14:textId="77777777" w:rsidTr="000C3CC7">
        <w:trPr>
          <w:trHeight w:val="285"/>
        </w:trPr>
        <w:tc>
          <w:tcPr>
            <w:tcW w:w="5743" w:type="dxa"/>
          </w:tcPr>
          <w:p w14:paraId="30C05BC2"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results in bodily experiences. (BEH2)</w:t>
            </w:r>
          </w:p>
        </w:tc>
        <w:tc>
          <w:tcPr>
            <w:tcW w:w="1070" w:type="dxa"/>
            <w:vAlign w:val="center"/>
          </w:tcPr>
          <w:p w14:paraId="5E8CE390"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0.782</w:t>
            </w:r>
          </w:p>
        </w:tc>
        <w:tc>
          <w:tcPr>
            <w:tcW w:w="756" w:type="dxa"/>
            <w:vMerge/>
          </w:tcPr>
          <w:p w14:paraId="5E02ED18" w14:textId="77777777" w:rsidR="00ED4759" w:rsidRPr="00816C6E" w:rsidRDefault="00ED4759" w:rsidP="000C3CC7">
            <w:pPr>
              <w:rPr>
                <w:rFonts w:ascii="Times New Roman" w:hAnsi="Times New Roman" w:cs="Times New Roman"/>
              </w:rPr>
            </w:pPr>
          </w:p>
        </w:tc>
        <w:tc>
          <w:tcPr>
            <w:tcW w:w="756" w:type="dxa"/>
            <w:vMerge/>
          </w:tcPr>
          <w:p w14:paraId="314E8D22" w14:textId="77777777" w:rsidR="00ED4759" w:rsidRPr="00816C6E" w:rsidRDefault="00ED4759" w:rsidP="000C3CC7">
            <w:pPr>
              <w:rPr>
                <w:rFonts w:ascii="Times New Roman" w:hAnsi="Times New Roman" w:cs="Times New Roman"/>
              </w:rPr>
            </w:pPr>
          </w:p>
        </w:tc>
        <w:tc>
          <w:tcPr>
            <w:tcW w:w="756" w:type="dxa"/>
            <w:vMerge/>
          </w:tcPr>
          <w:p w14:paraId="2D891BE8" w14:textId="77777777" w:rsidR="00ED4759" w:rsidRPr="00816C6E" w:rsidRDefault="00ED4759" w:rsidP="000C3CC7">
            <w:pPr>
              <w:rPr>
                <w:rFonts w:ascii="Times New Roman" w:hAnsi="Times New Roman" w:cs="Times New Roman"/>
              </w:rPr>
            </w:pPr>
          </w:p>
        </w:tc>
      </w:tr>
      <w:tr w:rsidR="00931359" w14:paraId="6A60B06B" w14:textId="77777777" w:rsidTr="000C3CC7">
        <w:trPr>
          <w:trHeight w:val="285"/>
        </w:trPr>
        <w:tc>
          <w:tcPr>
            <w:tcW w:w="5743" w:type="dxa"/>
          </w:tcPr>
          <w:p w14:paraId="29DD41A7"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is not action-oriented. (BEH3)</w:t>
            </w:r>
          </w:p>
        </w:tc>
        <w:tc>
          <w:tcPr>
            <w:tcW w:w="1070" w:type="dxa"/>
            <w:vAlign w:val="center"/>
          </w:tcPr>
          <w:p w14:paraId="282C7232"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0.808</w:t>
            </w:r>
          </w:p>
        </w:tc>
        <w:tc>
          <w:tcPr>
            <w:tcW w:w="756" w:type="dxa"/>
            <w:vMerge/>
          </w:tcPr>
          <w:p w14:paraId="4C25B737" w14:textId="77777777" w:rsidR="00ED4759" w:rsidRPr="00816C6E" w:rsidRDefault="00ED4759" w:rsidP="000C3CC7">
            <w:pPr>
              <w:rPr>
                <w:rFonts w:ascii="Times New Roman" w:hAnsi="Times New Roman" w:cs="Times New Roman"/>
              </w:rPr>
            </w:pPr>
          </w:p>
        </w:tc>
        <w:tc>
          <w:tcPr>
            <w:tcW w:w="756" w:type="dxa"/>
            <w:vMerge/>
          </w:tcPr>
          <w:p w14:paraId="5DF284A8" w14:textId="77777777" w:rsidR="00ED4759" w:rsidRPr="00816C6E" w:rsidRDefault="00ED4759" w:rsidP="000C3CC7">
            <w:pPr>
              <w:rPr>
                <w:rFonts w:ascii="Times New Roman" w:hAnsi="Times New Roman" w:cs="Times New Roman"/>
              </w:rPr>
            </w:pPr>
          </w:p>
        </w:tc>
        <w:tc>
          <w:tcPr>
            <w:tcW w:w="756" w:type="dxa"/>
            <w:vMerge/>
          </w:tcPr>
          <w:p w14:paraId="3BD80C67" w14:textId="77777777" w:rsidR="00ED4759" w:rsidRPr="00816C6E" w:rsidRDefault="00ED4759" w:rsidP="000C3CC7">
            <w:pPr>
              <w:rPr>
                <w:rFonts w:ascii="Times New Roman" w:hAnsi="Times New Roman" w:cs="Times New Roman"/>
              </w:rPr>
            </w:pPr>
          </w:p>
        </w:tc>
      </w:tr>
      <w:tr w:rsidR="00931359" w14:paraId="1A2D0C99" w14:textId="77777777" w:rsidTr="000C3CC7">
        <w:trPr>
          <w:trHeight w:val="295"/>
        </w:trPr>
        <w:tc>
          <w:tcPr>
            <w:tcW w:w="5743" w:type="dxa"/>
          </w:tcPr>
          <w:p w14:paraId="1A5CF362"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spend a lot of time thinking when I encounter brand X’s social commerce. (INT1)</w:t>
            </w:r>
          </w:p>
        </w:tc>
        <w:tc>
          <w:tcPr>
            <w:tcW w:w="1070" w:type="dxa"/>
            <w:vAlign w:val="center"/>
          </w:tcPr>
          <w:p w14:paraId="7AF1A966"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0.800</w:t>
            </w:r>
          </w:p>
        </w:tc>
        <w:tc>
          <w:tcPr>
            <w:tcW w:w="756" w:type="dxa"/>
            <w:vMerge/>
          </w:tcPr>
          <w:p w14:paraId="23FCB41A" w14:textId="77777777" w:rsidR="00ED4759" w:rsidRPr="00816C6E" w:rsidRDefault="00ED4759" w:rsidP="000C3CC7">
            <w:pPr>
              <w:rPr>
                <w:rFonts w:ascii="Times New Roman" w:hAnsi="Times New Roman" w:cs="Times New Roman"/>
              </w:rPr>
            </w:pPr>
          </w:p>
        </w:tc>
        <w:tc>
          <w:tcPr>
            <w:tcW w:w="756" w:type="dxa"/>
            <w:vMerge/>
          </w:tcPr>
          <w:p w14:paraId="309621A3" w14:textId="77777777" w:rsidR="00ED4759" w:rsidRPr="00816C6E" w:rsidRDefault="00ED4759" w:rsidP="000C3CC7">
            <w:pPr>
              <w:rPr>
                <w:rFonts w:ascii="Times New Roman" w:hAnsi="Times New Roman" w:cs="Times New Roman"/>
              </w:rPr>
            </w:pPr>
          </w:p>
        </w:tc>
        <w:tc>
          <w:tcPr>
            <w:tcW w:w="756" w:type="dxa"/>
            <w:vMerge/>
          </w:tcPr>
          <w:p w14:paraId="0A953C0A" w14:textId="77777777" w:rsidR="00ED4759" w:rsidRPr="00816C6E" w:rsidRDefault="00ED4759" w:rsidP="000C3CC7">
            <w:pPr>
              <w:rPr>
                <w:rFonts w:ascii="Times New Roman" w:hAnsi="Times New Roman" w:cs="Times New Roman"/>
              </w:rPr>
            </w:pPr>
          </w:p>
        </w:tc>
      </w:tr>
      <w:tr w:rsidR="00931359" w14:paraId="2DA1CDC9" w14:textId="77777777" w:rsidTr="000C3CC7">
        <w:trPr>
          <w:trHeight w:val="285"/>
        </w:trPr>
        <w:tc>
          <w:tcPr>
            <w:tcW w:w="5743" w:type="dxa"/>
          </w:tcPr>
          <w:p w14:paraId="4D490F91"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does not make me think. (INT2)</w:t>
            </w:r>
          </w:p>
        </w:tc>
        <w:tc>
          <w:tcPr>
            <w:tcW w:w="1070" w:type="dxa"/>
            <w:vAlign w:val="center"/>
          </w:tcPr>
          <w:p w14:paraId="06E6FA2E"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0.811</w:t>
            </w:r>
          </w:p>
        </w:tc>
        <w:tc>
          <w:tcPr>
            <w:tcW w:w="756" w:type="dxa"/>
            <w:vMerge/>
          </w:tcPr>
          <w:p w14:paraId="66187BA5" w14:textId="77777777" w:rsidR="00ED4759" w:rsidRPr="00816C6E" w:rsidRDefault="00ED4759" w:rsidP="000C3CC7">
            <w:pPr>
              <w:rPr>
                <w:rFonts w:ascii="Times New Roman" w:hAnsi="Times New Roman" w:cs="Times New Roman"/>
              </w:rPr>
            </w:pPr>
          </w:p>
        </w:tc>
        <w:tc>
          <w:tcPr>
            <w:tcW w:w="756" w:type="dxa"/>
            <w:vMerge/>
          </w:tcPr>
          <w:p w14:paraId="544C46FA" w14:textId="77777777" w:rsidR="00ED4759" w:rsidRPr="00816C6E" w:rsidRDefault="00ED4759" w:rsidP="000C3CC7">
            <w:pPr>
              <w:rPr>
                <w:rFonts w:ascii="Times New Roman" w:hAnsi="Times New Roman" w:cs="Times New Roman"/>
              </w:rPr>
            </w:pPr>
          </w:p>
        </w:tc>
        <w:tc>
          <w:tcPr>
            <w:tcW w:w="756" w:type="dxa"/>
            <w:vMerge/>
          </w:tcPr>
          <w:p w14:paraId="0D4BBD17" w14:textId="77777777" w:rsidR="00ED4759" w:rsidRPr="00816C6E" w:rsidRDefault="00ED4759" w:rsidP="000C3CC7">
            <w:pPr>
              <w:rPr>
                <w:rFonts w:ascii="Times New Roman" w:hAnsi="Times New Roman" w:cs="Times New Roman"/>
              </w:rPr>
            </w:pPr>
          </w:p>
        </w:tc>
      </w:tr>
      <w:tr w:rsidR="00931359" w14:paraId="6B4F4AEB" w14:textId="77777777" w:rsidTr="000C3CC7">
        <w:trPr>
          <w:trHeight w:val="285"/>
        </w:trPr>
        <w:tc>
          <w:tcPr>
            <w:tcW w:w="9081" w:type="dxa"/>
            <w:gridSpan w:val="5"/>
            <w:vAlign w:val="center"/>
          </w:tcPr>
          <w:p w14:paraId="336054DD" w14:textId="77777777" w:rsidR="00ED4759" w:rsidRPr="00816C6E" w:rsidRDefault="00ED4759" w:rsidP="000C3CC7">
            <w:pPr>
              <w:rPr>
                <w:rFonts w:ascii="Times New Roman" w:hAnsi="Times New Roman" w:cs="Times New Roman"/>
                <w:b/>
                <w:bCs/>
              </w:rPr>
            </w:pPr>
          </w:p>
          <w:p w14:paraId="11A468A5" w14:textId="77777777" w:rsidR="00ED4759" w:rsidRPr="00816C6E" w:rsidRDefault="00D94758" w:rsidP="000C3CC7">
            <w:pPr>
              <w:rPr>
                <w:rFonts w:ascii="Times New Roman" w:hAnsi="Times New Roman" w:cs="Times New Roman"/>
                <w:b/>
                <w:bCs/>
              </w:rPr>
            </w:pPr>
            <w:r w:rsidRPr="00816C6E">
              <w:rPr>
                <w:rFonts w:ascii="Times New Roman" w:hAnsi="Times New Roman" w:cs="Times New Roman"/>
                <w:b/>
                <w:bCs/>
              </w:rPr>
              <w:t>Brand Equity</w:t>
            </w:r>
          </w:p>
        </w:tc>
      </w:tr>
      <w:tr w:rsidR="00931359" w14:paraId="09717366" w14:textId="77777777" w:rsidTr="000C3CC7">
        <w:trPr>
          <w:trHeight w:val="231"/>
        </w:trPr>
        <w:tc>
          <w:tcPr>
            <w:tcW w:w="5743" w:type="dxa"/>
          </w:tcPr>
          <w:p w14:paraId="5BFA166D"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Some characteristics of Brand X’s social commerce come to mind quickly. (BAW1)</w:t>
            </w:r>
          </w:p>
        </w:tc>
        <w:tc>
          <w:tcPr>
            <w:tcW w:w="1070" w:type="dxa"/>
            <w:vAlign w:val="center"/>
          </w:tcPr>
          <w:p w14:paraId="243B3395"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0.771</w:t>
            </w:r>
          </w:p>
        </w:tc>
        <w:tc>
          <w:tcPr>
            <w:tcW w:w="756" w:type="dxa"/>
            <w:vMerge w:val="restart"/>
            <w:vAlign w:val="center"/>
          </w:tcPr>
          <w:p w14:paraId="0E36A8C2"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0.951</w:t>
            </w:r>
          </w:p>
        </w:tc>
        <w:tc>
          <w:tcPr>
            <w:tcW w:w="756" w:type="dxa"/>
            <w:vMerge w:val="restart"/>
            <w:vAlign w:val="center"/>
          </w:tcPr>
          <w:p w14:paraId="61F4D4D8"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0.956</w:t>
            </w:r>
          </w:p>
        </w:tc>
        <w:tc>
          <w:tcPr>
            <w:tcW w:w="756" w:type="dxa"/>
            <w:vMerge w:val="restart"/>
            <w:vAlign w:val="center"/>
          </w:tcPr>
          <w:p w14:paraId="08964F6B"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0.578</w:t>
            </w:r>
          </w:p>
        </w:tc>
      </w:tr>
      <w:tr w:rsidR="00931359" w14:paraId="7DFCC046" w14:textId="77777777" w:rsidTr="000C3CC7">
        <w:trPr>
          <w:trHeight w:val="366"/>
        </w:trPr>
        <w:tc>
          <w:tcPr>
            <w:tcW w:w="5743" w:type="dxa"/>
          </w:tcPr>
          <w:p w14:paraId="6064B405"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can quickly recognize Brand X’s social commerce among other e-commerce brands. (BAW2)</w:t>
            </w:r>
          </w:p>
        </w:tc>
        <w:tc>
          <w:tcPr>
            <w:tcW w:w="1070" w:type="dxa"/>
            <w:vAlign w:val="center"/>
          </w:tcPr>
          <w:p w14:paraId="125B04DA"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0.732</w:t>
            </w:r>
          </w:p>
        </w:tc>
        <w:tc>
          <w:tcPr>
            <w:tcW w:w="756" w:type="dxa"/>
            <w:vMerge/>
            <w:vAlign w:val="center"/>
          </w:tcPr>
          <w:p w14:paraId="48D5DB4A" w14:textId="77777777" w:rsidR="00ED4759" w:rsidRPr="00816C6E" w:rsidRDefault="00ED4759" w:rsidP="000C3CC7">
            <w:pPr>
              <w:jc w:val="center"/>
              <w:rPr>
                <w:rFonts w:ascii="Times New Roman" w:hAnsi="Times New Roman" w:cs="Times New Roman"/>
              </w:rPr>
            </w:pPr>
          </w:p>
        </w:tc>
        <w:tc>
          <w:tcPr>
            <w:tcW w:w="756" w:type="dxa"/>
            <w:vMerge/>
            <w:vAlign w:val="center"/>
          </w:tcPr>
          <w:p w14:paraId="4F4A7348" w14:textId="77777777" w:rsidR="00ED4759" w:rsidRPr="00816C6E" w:rsidRDefault="00ED4759" w:rsidP="000C3CC7">
            <w:pPr>
              <w:jc w:val="center"/>
              <w:rPr>
                <w:rFonts w:ascii="Times New Roman" w:hAnsi="Times New Roman" w:cs="Times New Roman"/>
              </w:rPr>
            </w:pPr>
          </w:p>
        </w:tc>
        <w:tc>
          <w:tcPr>
            <w:tcW w:w="756" w:type="dxa"/>
            <w:vMerge/>
            <w:vAlign w:val="center"/>
          </w:tcPr>
          <w:p w14:paraId="76358358" w14:textId="77777777" w:rsidR="00ED4759" w:rsidRPr="00816C6E" w:rsidRDefault="00ED4759" w:rsidP="000C3CC7">
            <w:pPr>
              <w:jc w:val="center"/>
              <w:rPr>
                <w:rFonts w:ascii="Times New Roman" w:hAnsi="Times New Roman" w:cs="Times New Roman"/>
              </w:rPr>
            </w:pPr>
          </w:p>
        </w:tc>
      </w:tr>
      <w:tr w:rsidR="00931359" w14:paraId="78C4479B" w14:textId="77777777" w:rsidTr="000C3CC7">
        <w:trPr>
          <w:trHeight w:val="295"/>
        </w:trPr>
        <w:tc>
          <w:tcPr>
            <w:tcW w:w="5743" w:type="dxa"/>
          </w:tcPr>
          <w:p w14:paraId="646940A1"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am familiar with brand X’s social commerce. (BAW3)</w:t>
            </w:r>
          </w:p>
        </w:tc>
        <w:tc>
          <w:tcPr>
            <w:tcW w:w="1070" w:type="dxa"/>
            <w:vAlign w:val="center"/>
          </w:tcPr>
          <w:p w14:paraId="34E13C6D"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0.788</w:t>
            </w:r>
          </w:p>
        </w:tc>
        <w:tc>
          <w:tcPr>
            <w:tcW w:w="756" w:type="dxa"/>
            <w:vMerge/>
            <w:vAlign w:val="center"/>
          </w:tcPr>
          <w:p w14:paraId="3FD7F691" w14:textId="77777777" w:rsidR="00ED4759" w:rsidRPr="00816C6E" w:rsidRDefault="00ED4759" w:rsidP="000C3CC7">
            <w:pPr>
              <w:jc w:val="center"/>
              <w:rPr>
                <w:rFonts w:ascii="Times New Roman" w:hAnsi="Times New Roman" w:cs="Times New Roman"/>
              </w:rPr>
            </w:pPr>
          </w:p>
        </w:tc>
        <w:tc>
          <w:tcPr>
            <w:tcW w:w="756" w:type="dxa"/>
            <w:vMerge/>
            <w:vAlign w:val="center"/>
          </w:tcPr>
          <w:p w14:paraId="5B1AF1C4" w14:textId="77777777" w:rsidR="00ED4759" w:rsidRPr="00816C6E" w:rsidRDefault="00ED4759" w:rsidP="000C3CC7">
            <w:pPr>
              <w:jc w:val="center"/>
              <w:rPr>
                <w:rFonts w:ascii="Times New Roman" w:hAnsi="Times New Roman" w:cs="Times New Roman"/>
              </w:rPr>
            </w:pPr>
          </w:p>
        </w:tc>
        <w:tc>
          <w:tcPr>
            <w:tcW w:w="756" w:type="dxa"/>
            <w:vMerge/>
            <w:vAlign w:val="center"/>
          </w:tcPr>
          <w:p w14:paraId="33B9C4EB" w14:textId="77777777" w:rsidR="00ED4759" w:rsidRPr="00816C6E" w:rsidRDefault="00ED4759" w:rsidP="000C3CC7">
            <w:pPr>
              <w:jc w:val="center"/>
              <w:rPr>
                <w:rFonts w:ascii="Times New Roman" w:hAnsi="Times New Roman" w:cs="Times New Roman"/>
              </w:rPr>
            </w:pPr>
          </w:p>
        </w:tc>
      </w:tr>
      <w:tr w:rsidR="00931359" w14:paraId="5C215E33" w14:textId="77777777" w:rsidTr="000C3CC7">
        <w:trPr>
          <w:trHeight w:val="321"/>
        </w:trPr>
        <w:tc>
          <w:tcPr>
            <w:tcW w:w="5743" w:type="dxa"/>
          </w:tcPr>
          <w:p w14:paraId="1CFBF627"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Compared with other e-commerce brands, brand X’s social commerce has a distinct image. (BAS1)</w:t>
            </w:r>
          </w:p>
        </w:tc>
        <w:tc>
          <w:tcPr>
            <w:tcW w:w="1070" w:type="dxa"/>
            <w:vAlign w:val="center"/>
          </w:tcPr>
          <w:p w14:paraId="091EFEED"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0.750</w:t>
            </w:r>
          </w:p>
        </w:tc>
        <w:tc>
          <w:tcPr>
            <w:tcW w:w="756" w:type="dxa"/>
            <w:vMerge/>
          </w:tcPr>
          <w:p w14:paraId="05268BE3" w14:textId="77777777" w:rsidR="00ED4759" w:rsidRPr="00816C6E" w:rsidRDefault="00ED4759" w:rsidP="000C3CC7">
            <w:pPr>
              <w:rPr>
                <w:rFonts w:ascii="Times New Roman" w:hAnsi="Times New Roman" w:cs="Times New Roman"/>
              </w:rPr>
            </w:pPr>
          </w:p>
        </w:tc>
        <w:tc>
          <w:tcPr>
            <w:tcW w:w="756" w:type="dxa"/>
            <w:vMerge/>
          </w:tcPr>
          <w:p w14:paraId="32D14960" w14:textId="77777777" w:rsidR="00ED4759" w:rsidRPr="00816C6E" w:rsidRDefault="00ED4759" w:rsidP="000C3CC7">
            <w:pPr>
              <w:rPr>
                <w:rFonts w:ascii="Times New Roman" w:hAnsi="Times New Roman" w:cs="Times New Roman"/>
              </w:rPr>
            </w:pPr>
          </w:p>
        </w:tc>
        <w:tc>
          <w:tcPr>
            <w:tcW w:w="756" w:type="dxa"/>
            <w:vMerge/>
          </w:tcPr>
          <w:p w14:paraId="21F8AD69" w14:textId="77777777" w:rsidR="00ED4759" w:rsidRPr="00816C6E" w:rsidRDefault="00ED4759" w:rsidP="000C3CC7">
            <w:pPr>
              <w:rPr>
                <w:rFonts w:ascii="Times New Roman" w:hAnsi="Times New Roman" w:cs="Times New Roman"/>
              </w:rPr>
            </w:pPr>
          </w:p>
        </w:tc>
      </w:tr>
      <w:tr w:rsidR="00931359" w14:paraId="1C077C69" w14:textId="77777777" w:rsidTr="000C3CC7">
        <w:trPr>
          <w:trHeight w:val="295"/>
        </w:trPr>
        <w:tc>
          <w:tcPr>
            <w:tcW w:w="5743" w:type="dxa"/>
          </w:tcPr>
          <w:p w14:paraId="0727A831"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respect and admire people who shop on brand X’s social commerce platform. (BAS2)</w:t>
            </w:r>
          </w:p>
        </w:tc>
        <w:tc>
          <w:tcPr>
            <w:tcW w:w="1070" w:type="dxa"/>
            <w:vAlign w:val="center"/>
          </w:tcPr>
          <w:p w14:paraId="176C153A"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0.720</w:t>
            </w:r>
          </w:p>
        </w:tc>
        <w:tc>
          <w:tcPr>
            <w:tcW w:w="756" w:type="dxa"/>
            <w:vMerge/>
          </w:tcPr>
          <w:p w14:paraId="2877191B" w14:textId="77777777" w:rsidR="00ED4759" w:rsidRPr="00816C6E" w:rsidRDefault="00ED4759" w:rsidP="000C3CC7">
            <w:pPr>
              <w:rPr>
                <w:rFonts w:ascii="Times New Roman" w:hAnsi="Times New Roman" w:cs="Times New Roman"/>
              </w:rPr>
            </w:pPr>
          </w:p>
        </w:tc>
        <w:tc>
          <w:tcPr>
            <w:tcW w:w="756" w:type="dxa"/>
            <w:vMerge/>
          </w:tcPr>
          <w:p w14:paraId="7C0ADBC6" w14:textId="77777777" w:rsidR="00ED4759" w:rsidRPr="00816C6E" w:rsidRDefault="00ED4759" w:rsidP="000C3CC7">
            <w:pPr>
              <w:rPr>
                <w:rFonts w:ascii="Times New Roman" w:hAnsi="Times New Roman" w:cs="Times New Roman"/>
              </w:rPr>
            </w:pPr>
          </w:p>
        </w:tc>
        <w:tc>
          <w:tcPr>
            <w:tcW w:w="756" w:type="dxa"/>
            <w:vMerge/>
          </w:tcPr>
          <w:p w14:paraId="479E3942" w14:textId="77777777" w:rsidR="00ED4759" w:rsidRPr="00816C6E" w:rsidRDefault="00ED4759" w:rsidP="000C3CC7">
            <w:pPr>
              <w:rPr>
                <w:rFonts w:ascii="Times New Roman" w:hAnsi="Times New Roman" w:cs="Times New Roman"/>
              </w:rPr>
            </w:pPr>
          </w:p>
        </w:tc>
      </w:tr>
      <w:tr w:rsidR="00931359" w14:paraId="32CC226D" w14:textId="77777777" w:rsidTr="000C3CC7">
        <w:trPr>
          <w:trHeight w:val="285"/>
        </w:trPr>
        <w:tc>
          <w:tcPr>
            <w:tcW w:w="5743" w:type="dxa"/>
          </w:tcPr>
          <w:p w14:paraId="663C7D0B"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like the brand image of brand X’s social commerce. (BAS3)</w:t>
            </w:r>
          </w:p>
        </w:tc>
        <w:tc>
          <w:tcPr>
            <w:tcW w:w="1070" w:type="dxa"/>
            <w:vAlign w:val="center"/>
          </w:tcPr>
          <w:p w14:paraId="3995F1FA"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0.784</w:t>
            </w:r>
          </w:p>
        </w:tc>
        <w:tc>
          <w:tcPr>
            <w:tcW w:w="756" w:type="dxa"/>
            <w:vMerge/>
          </w:tcPr>
          <w:p w14:paraId="4870DBA3" w14:textId="77777777" w:rsidR="00ED4759" w:rsidRPr="00816C6E" w:rsidRDefault="00ED4759" w:rsidP="000C3CC7">
            <w:pPr>
              <w:rPr>
                <w:rFonts w:ascii="Times New Roman" w:hAnsi="Times New Roman" w:cs="Times New Roman"/>
              </w:rPr>
            </w:pPr>
          </w:p>
        </w:tc>
        <w:tc>
          <w:tcPr>
            <w:tcW w:w="756" w:type="dxa"/>
            <w:vMerge/>
          </w:tcPr>
          <w:p w14:paraId="2CA6D18F" w14:textId="77777777" w:rsidR="00ED4759" w:rsidRPr="00816C6E" w:rsidRDefault="00ED4759" w:rsidP="000C3CC7">
            <w:pPr>
              <w:rPr>
                <w:rFonts w:ascii="Times New Roman" w:hAnsi="Times New Roman" w:cs="Times New Roman"/>
              </w:rPr>
            </w:pPr>
          </w:p>
        </w:tc>
        <w:tc>
          <w:tcPr>
            <w:tcW w:w="756" w:type="dxa"/>
            <w:vMerge/>
          </w:tcPr>
          <w:p w14:paraId="16C23085" w14:textId="77777777" w:rsidR="00ED4759" w:rsidRPr="00816C6E" w:rsidRDefault="00ED4759" w:rsidP="000C3CC7">
            <w:pPr>
              <w:rPr>
                <w:rFonts w:ascii="Times New Roman" w:hAnsi="Times New Roman" w:cs="Times New Roman"/>
              </w:rPr>
            </w:pPr>
          </w:p>
        </w:tc>
      </w:tr>
      <w:tr w:rsidR="00931359" w14:paraId="2EAB575C" w14:textId="77777777" w:rsidTr="000C3CC7">
        <w:trPr>
          <w:trHeight w:val="285"/>
        </w:trPr>
        <w:tc>
          <w:tcPr>
            <w:tcW w:w="5743" w:type="dxa"/>
          </w:tcPr>
          <w:p w14:paraId="5C518DB5"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is customer-friendly. (BAS4)</w:t>
            </w:r>
          </w:p>
        </w:tc>
        <w:tc>
          <w:tcPr>
            <w:tcW w:w="1070" w:type="dxa"/>
            <w:vAlign w:val="center"/>
          </w:tcPr>
          <w:p w14:paraId="3FB637FD"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0.805</w:t>
            </w:r>
          </w:p>
        </w:tc>
        <w:tc>
          <w:tcPr>
            <w:tcW w:w="756" w:type="dxa"/>
            <w:vMerge/>
          </w:tcPr>
          <w:p w14:paraId="4C8EB994" w14:textId="77777777" w:rsidR="00ED4759" w:rsidRPr="00816C6E" w:rsidRDefault="00ED4759" w:rsidP="000C3CC7">
            <w:pPr>
              <w:rPr>
                <w:rFonts w:ascii="Times New Roman" w:hAnsi="Times New Roman" w:cs="Times New Roman"/>
              </w:rPr>
            </w:pPr>
          </w:p>
        </w:tc>
        <w:tc>
          <w:tcPr>
            <w:tcW w:w="756" w:type="dxa"/>
            <w:vMerge/>
          </w:tcPr>
          <w:p w14:paraId="1A724659" w14:textId="77777777" w:rsidR="00ED4759" w:rsidRPr="00816C6E" w:rsidRDefault="00ED4759" w:rsidP="000C3CC7">
            <w:pPr>
              <w:rPr>
                <w:rFonts w:ascii="Times New Roman" w:hAnsi="Times New Roman" w:cs="Times New Roman"/>
              </w:rPr>
            </w:pPr>
          </w:p>
        </w:tc>
        <w:tc>
          <w:tcPr>
            <w:tcW w:w="756" w:type="dxa"/>
            <w:vMerge/>
          </w:tcPr>
          <w:p w14:paraId="2D01872B" w14:textId="77777777" w:rsidR="00ED4759" w:rsidRPr="00816C6E" w:rsidRDefault="00ED4759" w:rsidP="000C3CC7">
            <w:pPr>
              <w:rPr>
                <w:rFonts w:ascii="Times New Roman" w:hAnsi="Times New Roman" w:cs="Times New Roman"/>
              </w:rPr>
            </w:pPr>
          </w:p>
        </w:tc>
      </w:tr>
      <w:tr w:rsidR="00931359" w14:paraId="1AA815B8" w14:textId="77777777" w:rsidTr="000C3CC7">
        <w:trPr>
          <w:trHeight w:val="295"/>
        </w:trPr>
        <w:tc>
          <w:tcPr>
            <w:tcW w:w="5743" w:type="dxa"/>
          </w:tcPr>
          <w:p w14:paraId="7E433CFC"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trust the quality of the products provided by brand X’s social commerce. (PQ1)</w:t>
            </w:r>
          </w:p>
        </w:tc>
        <w:tc>
          <w:tcPr>
            <w:tcW w:w="1070" w:type="dxa"/>
            <w:vAlign w:val="center"/>
          </w:tcPr>
          <w:p w14:paraId="74878435"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0.799</w:t>
            </w:r>
          </w:p>
        </w:tc>
        <w:tc>
          <w:tcPr>
            <w:tcW w:w="756" w:type="dxa"/>
            <w:vMerge/>
          </w:tcPr>
          <w:p w14:paraId="0DE7DE6B" w14:textId="77777777" w:rsidR="00ED4759" w:rsidRPr="00816C6E" w:rsidRDefault="00ED4759" w:rsidP="000C3CC7">
            <w:pPr>
              <w:rPr>
                <w:rFonts w:ascii="Times New Roman" w:hAnsi="Times New Roman" w:cs="Times New Roman"/>
              </w:rPr>
            </w:pPr>
          </w:p>
        </w:tc>
        <w:tc>
          <w:tcPr>
            <w:tcW w:w="756" w:type="dxa"/>
            <w:vMerge/>
          </w:tcPr>
          <w:p w14:paraId="134C5769" w14:textId="77777777" w:rsidR="00ED4759" w:rsidRPr="00816C6E" w:rsidRDefault="00ED4759" w:rsidP="000C3CC7">
            <w:pPr>
              <w:rPr>
                <w:rFonts w:ascii="Times New Roman" w:hAnsi="Times New Roman" w:cs="Times New Roman"/>
              </w:rPr>
            </w:pPr>
          </w:p>
        </w:tc>
        <w:tc>
          <w:tcPr>
            <w:tcW w:w="756" w:type="dxa"/>
            <w:vMerge/>
          </w:tcPr>
          <w:p w14:paraId="72C214E2" w14:textId="77777777" w:rsidR="00ED4759" w:rsidRPr="00816C6E" w:rsidRDefault="00ED4759" w:rsidP="000C3CC7">
            <w:pPr>
              <w:rPr>
                <w:rFonts w:ascii="Times New Roman" w:hAnsi="Times New Roman" w:cs="Times New Roman"/>
              </w:rPr>
            </w:pPr>
          </w:p>
        </w:tc>
      </w:tr>
      <w:tr w:rsidR="00931359" w14:paraId="5F6BEAE5" w14:textId="77777777" w:rsidTr="000C3CC7">
        <w:trPr>
          <w:trHeight w:val="285"/>
        </w:trPr>
        <w:tc>
          <w:tcPr>
            <w:tcW w:w="5743" w:type="dxa"/>
          </w:tcPr>
          <w:p w14:paraId="3D55F1CF"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Products from brand X’s social commerce are of good quality. (PQ2)</w:t>
            </w:r>
          </w:p>
        </w:tc>
        <w:tc>
          <w:tcPr>
            <w:tcW w:w="1070" w:type="dxa"/>
            <w:vAlign w:val="center"/>
          </w:tcPr>
          <w:p w14:paraId="252A745B"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0.752</w:t>
            </w:r>
          </w:p>
        </w:tc>
        <w:tc>
          <w:tcPr>
            <w:tcW w:w="756" w:type="dxa"/>
            <w:vMerge/>
          </w:tcPr>
          <w:p w14:paraId="68BE9EF3" w14:textId="77777777" w:rsidR="00ED4759" w:rsidRPr="00816C6E" w:rsidRDefault="00ED4759" w:rsidP="000C3CC7">
            <w:pPr>
              <w:rPr>
                <w:rFonts w:ascii="Times New Roman" w:hAnsi="Times New Roman" w:cs="Times New Roman"/>
              </w:rPr>
            </w:pPr>
          </w:p>
        </w:tc>
        <w:tc>
          <w:tcPr>
            <w:tcW w:w="756" w:type="dxa"/>
            <w:vMerge/>
          </w:tcPr>
          <w:p w14:paraId="73E4AC96" w14:textId="77777777" w:rsidR="00ED4759" w:rsidRPr="00816C6E" w:rsidRDefault="00ED4759" w:rsidP="000C3CC7">
            <w:pPr>
              <w:rPr>
                <w:rFonts w:ascii="Times New Roman" w:hAnsi="Times New Roman" w:cs="Times New Roman"/>
              </w:rPr>
            </w:pPr>
          </w:p>
        </w:tc>
        <w:tc>
          <w:tcPr>
            <w:tcW w:w="756" w:type="dxa"/>
            <w:vMerge/>
          </w:tcPr>
          <w:p w14:paraId="26BDEE4E" w14:textId="77777777" w:rsidR="00ED4759" w:rsidRPr="00816C6E" w:rsidRDefault="00ED4759" w:rsidP="000C3CC7">
            <w:pPr>
              <w:rPr>
                <w:rFonts w:ascii="Times New Roman" w:hAnsi="Times New Roman" w:cs="Times New Roman"/>
              </w:rPr>
            </w:pPr>
          </w:p>
        </w:tc>
      </w:tr>
      <w:tr w:rsidR="00931359" w14:paraId="25DF70ED" w14:textId="77777777" w:rsidTr="000C3CC7">
        <w:trPr>
          <w:trHeight w:val="285"/>
        </w:trPr>
        <w:tc>
          <w:tcPr>
            <w:tcW w:w="5743" w:type="dxa"/>
          </w:tcPr>
          <w:p w14:paraId="4A1F34BF"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services are excellent. (PQ3)</w:t>
            </w:r>
          </w:p>
        </w:tc>
        <w:tc>
          <w:tcPr>
            <w:tcW w:w="1070" w:type="dxa"/>
            <w:vAlign w:val="center"/>
          </w:tcPr>
          <w:p w14:paraId="2A377042"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0.806</w:t>
            </w:r>
          </w:p>
        </w:tc>
        <w:tc>
          <w:tcPr>
            <w:tcW w:w="756" w:type="dxa"/>
            <w:vMerge/>
          </w:tcPr>
          <w:p w14:paraId="2BDA6AE5" w14:textId="77777777" w:rsidR="00ED4759" w:rsidRPr="00816C6E" w:rsidRDefault="00ED4759" w:rsidP="000C3CC7">
            <w:pPr>
              <w:rPr>
                <w:rFonts w:ascii="Times New Roman" w:hAnsi="Times New Roman" w:cs="Times New Roman"/>
              </w:rPr>
            </w:pPr>
          </w:p>
        </w:tc>
        <w:tc>
          <w:tcPr>
            <w:tcW w:w="756" w:type="dxa"/>
            <w:vMerge/>
          </w:tcPr>
          <w:p w14:paraId="7543A1A3" w14:textId="77777777" w:rsidR="00ED4759" w:rsidRPr="00816C6E" w:rsidRDefault="00ED4759" w:rsidP="000C3CC7">
            <w:pPr>
              <w:rPr>
                <w:rFonts w:ascii="Times New Roman" w:hAnsi="Times New Roman" w:cs="Times New Roman"/>
              </w:rPr>
            </w:pPr>
          </w:p>
        </w:tc>
        <w:tc>
          <w:tcPr>
            <w:tcW w:w="756" w:type="dxa"/>
            <w:vMerge/>
          </w:tcPr>
          <w:p w14:paraId="3E9CF13C" w14:textId="77777777" w:rsidR="00ED4759" w:rsidRPr="00816C6E" w:rsidRDefault="00ED4759" w:rsidP="000C3CC7">
            <w:pPr>
              <w:rPr>
                <w:rFonts w:ascii="Times New Roman" w:hAnsi="Times New Roman" w:cs="Times New Roman"/>
              </w:rPr>
            </w:pPr>
          </w:p>
        </w:tc>
      </w:tr>
      <w:tr w:rsidR="00931359" w14:paraId="6662657E" w14:textId="77777777" w:rsidTr="000C3CC7">
        <w:trPr>
          <w:trHeight w:val="285"/>
        </w:trPr>
        <w:tc>
          <w:tcPr>
            <w:tcW w:w="5743" w:type="dxa"/>
          </w:tcPr>
          <w:p w14:paraId="07FBFDAE"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services are reliable. (PQ4)</w:t>
            </w:r>
          </w:p>
        </w:tc>
        <w:tc>
          <w:tcPr>
            <w:tcW w:w="1070" w:type="dxa"/>
            <w:vAlign w:val="center"/>
          </w:tcPr>
          <w:p w14:paraId="693FBDEC"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0.730</w:t>
            </w:r>
          </w:p>
        </w:tc>
        <w:tc>
          <w:tcPr>
            <w:tcW w:w="756" w:type="dxa"/>
            <w:vMerge/>
          </w:tcPr>
          <w:p w14:paraId="4D65EC09" w14:textId="77777777" w:rsidR="00ED4759" w:rsidRPr="00816C6E" w:rsidRDefault="00ED4759" w:rsidP="000C3CC7">
            <w:pPr>
              <w:rPr>
                <w:rFonts w:ascii="Times New Roman" w:hAnsi="Times New Roman" w:cs="Times New Roman"/>
              </w:rPr>
            </w:pPr>
          </w:p>
        </w:tc>
        <w:tc>
          <w:tcPr>
            <w:tcW w:w="756" w:type="dxa"/>
            <w:vMerge/>
          </w:tcPr>
          <w:p w14:paraId="5A1D0549" w14:textId="77777777" w:rsidR="00ED4759" w:rsidRPr="00816C6E" w:rsidRDefault="00ED4759" w:rsidP="000C3CC7">
            <w:pPr>
              <w:rPr>
                <w:rFonts w:ascii="Times New Roman" w:hAnsi="Times New Roman" w:cs="Times New Roman"/>
              </w:rPr>
            </w:pPr>
          </w:p>
        </w:tc>
        <w:tc>
          <w:tcPr>
            <w:tcW w:w="756" w:type="dxa"/>
            <w:vMerge/>
          </w:tcPr>
          <w:p w14:paraId="2660B091" w14:textId="77777777" w:rsidR="00ED4759" w:rsidRPr="00816C6E" w:rsidRDefault="00ED4759" w:rsidP="000C3CC7">
            <w:pPr>
              <w:rPr>
                <w:rFonts w:ascii="Times New Roman" w:hAnsi="Times New Roman" w:cs="Times New Roman"/>
              </w:rPr>
            </w:pPr>
          </w:p>
        </w:tc>
      </w:tr>
      <w:tr w:rsidR="00931359" w14:paraId="34227931" w14:textId="77777777" w:rsidTr="000C3CC7">
        <w:trPr>
          <w:trHeight w:val="295"/>
        </w:trPr>
        <w:tc>
          <w:tcPr>
            <w:tcW w:w="5743" w:type="dxa"/>
          </w:tcPr>
          <w:p w14:paraId="67DC832A"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am loyal to brand X's social commerce. (BL1)</w:t>
            </w:r>
          </w:p>
        </w:tc>
        <w:tc>
          <w:tcPr>
            <w:tcW w:w="1070" w:type="dxa"/>
            <w:vAlign w:val="center"/>
          </w:tcPr>
          <w:p w14:paraId="11A0CDC8"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0.776</w:t>
            </w:r>
          </w:p>
        </w:tc>
        <w:tc>
          <w:tcPr>
            <w:tcW w:w="756" w:type="dxa"/>
            <w:vMerge/>
          </w:tcPr>
          <w:p w14:paraId="61033E3B" w14:textId="77777777" w:rsidR="00ED4759" w:rsidRPr="00816C6E" w:rsidRDefault="00ED4759" w:rsidP="000C3CC7">
            <w:pPr>
              <w:rPr>
                <w:rFonts w:ascii="Times New Roman" w:hAnsi="Times New Roman" w:cs="Times New Roman"/>
              </w:rPr>
            </w:pPr>
          </w:p>
        </w:tc>
        <w:tc>
          <w:tcPr>
            <w:tcW w:w="756" w:type="dxa"/>
            <w:vMerge/>
          </w:tcPr>
          <w:p w14:paraId="54774FB3" w14:textId="77777777" w:rsidR="00ED4759" w:rsidRPr="00816C6E" w:rsidRDefault="00ED4759" w:rsidP="000C3CC7">
            <w:pPr>
              <w:rPr>
                <w:rFonts w:ascii="Times New Roman" w:hAnsi="Times New Roman" w:cs="Times New Roman"/>
              </w:rPr>
            </w:pPr>
          </w:p>
        </w:tc>
        <w:tc>
          <w:tcPr>
            <w:tcW w:w="756" w:type="dxa"/>
            <w:vMerge/>
          </w:tcPr>
          <w:p w14:paraId="00395FF2" w14:textId="77777777" w:rsidR="00ED4759" w:rsidRPr="00816C6E" w:rsidRDefault="00ED4759" w:rsidP="000C3CC7">
            <w:pPr>
              <w:rPr>
                <w:rFonts w:ascii="Times New Roman" w:hAnsi="Times New Roman" w:cs="Times New Roman"/>
              </w:rPr>
            </w:pPr>
          </w:p>
        </w:tc>
      </w:tr>
      <w:tr w:rsidR="00931359" w14:paraId="53EBC063" w14:textId="77777777" w:rsidTr="000C3CC7">
        <w:trPr>
          <w:trHeight w:val="339"/>
        </w:trPr>
        <w:tc>
          <w:tcPr>
            <w:tcW w:w="5743" w:type="dxa"/>
          </w:tcPr>
          <w:p w14:paraId="29902213"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Brand X’s social commerce would be my first choice when shopping online. (BL2)</w:t>
            </w:r>
          </w:p>
        </w:tc>
        <w:tc>
          <w:tcPr>
            <w:tcW w:w="1070" w:type="dxa"/>
            <w:vAlign w:val="center"/>
          </w:tcPr>
          <w:p w14:paraId="1977E987"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0.766</w:t>
            </w:r>
          </w:p>
        </w:tc>
        <w:tc>
          <w:tcPr>
            <w:tcW w:w="756" w:type="dxa"/>
            <w:vMerge/>
          </w:tcPr>
          <w:p w14:paraId="2846A37B" w14:textId="77777777" w:rsidR="00ED4759" w:rsidRPr="00816C6E" w:rsidRDefault="00ED4759" w:rsidP="000C3CC7">
            <w:pPr>
              <w:rPr>
                <w:rFonts w:ascii="Times New Roman" w:hAnsi="Times New Roman" w:cs="Times New Roman"/>
              </w:rPr>
            </w:pPr>
          </w:p>
        </w:tc>
        <w:tc>
          <w:tcPr>
            <w:tcW w:w="756" w:type="dxa"/>
            <w:vMerge/>
          </w:tcPr>
          <w:p w14:paraId="38FA6B71" w14:textId="77777777" w:rsidR="00ED4759" w:rsidRPr="00816C6E" w:rsidRDefault="00ED4759" w:rsidP="000C3CC7">
            <w:pPr>
              <w:rPr>
                <w:rFonts w:ascii="Times New Roman" w:hAnsi="Times New Roman" w:cs="Times New Roman"/>
              </w:rPr>
            </w:pPr>
          </w:p>
        </w:tc>
        <w:tc>
          <w:tcPr>
            <w:tcW w:w="756" w:type="dxa"/>
            <w:vMerge/>
          </w:tcPr>
          <w:p w14:paraId="79F8AC02" w14:textId="77777777" w:rsidR="00ED4759" w:rsidRPr="00816C6E" w:rsidRDefault="00ED4759" w:rsidP="000C3CC7">
            <w:pPr>
              <w:rPr>
                <w:rFonts w:ascii="Times New Roman" w:hAnsi="Times New Roman" w:cs="Times New Roman"/>
              </w:rPr>
            </w:pPr>
          </w:p>
        </w:tc>
      </w:tr>
      <w:tr w:rsidR="00931359" w14:paraId="75E9B8DC" w14:textId="77777777" w:rsidTr="000C3CC7">
        <w:trPr>
          <w:trHeight w:val="583"/>
        </w:trPr>
        <w:tc>
          <w:tcPr>
            <w:tcW w:w="5743" w:type="dxa"/>
          </w:tcPr>
          <w:p w14:paraId="164072F4"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will keep buying from brand X’s social commerce as long as it continues to offer high-quality products and excellent service. (BL3)</w:t>
            </w:r>
          </w:p>
        </w:tc>
        <w:tc>
          <w:tcPr>
            <w:tcW w:w="1070" w:type="dxa"/>
            <w:vAlign w:val="center"/>
          </w:tcPr>
          <w:p w14:paraId="4186BE14"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0.808</w:t>
            </w:r>
          </w:p>
        </w:tc>
        <w:tc>
          <w:tcPr>
            <w:tcW w:w="756" w:type="dxa"/>
            <w:vMerge/>
          </w:tcPr>
          <w:p w14:paraId="6936CB06" w14:textId="77777777" w:rsidR="00ED4759" w:rsidRPr="00816C6E" w:rsidRDefault="00ED4759" w:rsidP="000C3CC7">
            <w:pPr>
              <w:rPr>
                <w:rFonts w:ascii="Times New Roman" w:hAnsi="Times New Roman" w:cs="Times New Roman"/>
              </w:rPr>
            </w:pPr>
          </w:p>
        </w:tc>
        <w:tc>
          <w:tcPr>
            <w:tcW w:w="756" w:type="dxa"/>
            <w:vMerge/>
          </w:tcPr>
          <w:p w14:paraId="76178323" w14:textId="77777777" w:rsidR="00ED4759" w:rsidRPr="00816C6E" w:rsidRDefault="00ED4759" w:rsidP="000C3CC7">
            <w:pPr>
              <w:rPr>
                <w:rFonts w:ascii="Times New Roman" w:hAnsi="Times New Roman" w:cs="Times New Roman"/>
              </w:rPr>
            </w:pPr>
          </w:p>
        </w:tc>
        <w:tc>
          <w:tcPr>
            <w:tcW w:w="756" w:type="dxa"/>
            <w:vMerge/>
          </w:tcPr>
          <w:p w14:paraId="7F0ECD5F" w14:textId="77777777" w:rsidR="00ED4759" w:rsidRPr="00816C6E" w:rsidRDefault="00ED4759" w:rsidP="000C3CC7">
            <w:pPr>
              <w:rPr>
                <w:rFonts w:ascii="Times New Roman" w:hAnsi="Times New Roman" w:cs="Times New Roman"/>
              </w:rPr>
            </w:pPr>
          </w:p>
        </w:tc>
      </w:tr>
      <w:tr w:rsidR="00931359" w14:paraId="4FCC17E1" w14:textId="77777777" w:rsidTr="000C3CC7">
        <w:trPr>
          <w:trHeight w:val="583"/>
        </w:trPr>
        <w:tc>
          <w:tcPr>
            <w:tcW w:w="5743" w:type="dxa"/>
          </w:tcPr>
          <w:p w14:paraId="2265B9CC"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am still willing to buy from brand X’s social commerce, even if its product prices are slightly higher than those of other e-commerce brands. (BL4)</w:t>
            </w:r>
          </w:p>
        </w:tc>
        <w:tc>
          <w:tcPr>
            <w:tcW w:w="1070" w:type="dxa"/>
            <w:vAlign w:val="center"/>
          </w:tcPr>
          <w:p w14:paraId="339593E9"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0.782</w:t>
            </w:r>
          </w:p>
        </w:tc>
        <w:tc>
          <w:tcPr>
            <w:tcW w:w="756" w:type="dxa"/>
            <w:vMerge/>
          </w:tcPr>
          <w:p w14:paraId="0C583275" w14:textId="77777777" w:rsidR="00ED4759" w:rsidRPr="00816C6E" w:rsidRDefault="00ED4759" w:rsidP="000C3CC7">
            <w:pPr>
              <w:rPr>
                <w:rFonts w:ascii="Times New Roman" w:hAnsi="Times New Roman" w:cs="Times New Roman"/>
              </w:rPr>
            </w:pPr>
          </w:p>
        </w:tc>
        <w:tc>
          <w:tcPr>
            <w:tcW w:w="756" w:type="dxa"/>
            <w:vMerge/>
          </w:tcPr>
          <w:p w14:paraId="2E9459B1" w14:textId="77777777" w:rsidR="00ED4759" w:rsidRPr="00816C6E" w:rsidRDefault="00ED4759" w:rsidP="000C3CC7">
            <w:pPr>
              <w:rPr>
                <w:rFonts w:ascii="Times New Roman" w:hAnsi="Times New Roman" w:cs="Times New Roman"/>
              </w:rPr>
            </w:pPr>
          </w:p>
        </w:tc>
        <w:tc>
          <w:tcPr>
            <w:tcW w:w="756" w:type="dxa"/>
            <w:vMerge/>
          </w:tcPr>
          <w:p w14:paraId="0C41B511" w14:textId="77777777" w:rsidR="00ED4759" w:rsidRPr="00816C6E" w:rsidRDefault="00ED4759" w:rsidP="000C3CC7">
            <w:pPr>
              <w:rPr>
                <w:rFonts w:ascii="Times New Roman" w:hAnsi="Times New Roman" w:cs="Times New Roman"/>
              </w:rPr>
            </w:pPr>
          </w:p>
        </w:tc>
      </w:tr>
      <w:tr w:rsidR="00931359" w14:paraId="2D2A7870" w14:textId="77777777" w:rsidTr="000C3CC7">
        <w:trPr>
          <w:trHeight w:val="285"/>
        </w:trPr>
        <w:tc>
          <w:tcPr>
            <w:tcW w:w="5743" w:type="dxa"/>
          </w:tcPr>
          <w:p w14:paraId="63BCF03F" w14:textId="77777777" w:rsidR="00ED4759" w:rsidRPr="00816C6E" w:rsidRDefault="00D94758" w:rsidP="000C3CC7">
            <w:pPr>
              <w:rPr>
                <w:rFonts w:ascii="Times New Roman" w:hAnsi="Times New Roman" w:cs="Times New Roman"/>
              </w:rPr>
            </w:pPr>
            <w:r w:rsidRPr="00816C6E">
              <w:rPr>
                <w:rFonts w:ascii="Times New Roman" w:hAnsi="Times New Roman" w:cs="Times New Roman"/>
              </w:rPr>
              <w:t>I would love to recommend brand X’s social commerce to my friends. (BL5)</w:t>
            </w:r>
          </w:p>
        </w:tc>
        <w:tc>
          <w:tcPr>
            <w:tcW w:w="1070" w:type="dxa"/>
            <w:vAlign w:val="center"/>
          </w:tcPr>
          <w:p w14:paraId="62599519" w14:textId="77777777" w:rsidR="00ED4759" w:rsidRPr="00816C6E" w:rsidRDefault="00D94758" w:rsidP="000C3CC7">
            <w:pPr>
              <w:jc w:val="center"/>
              <w:rPr>
                <w:rFonts w:ascii="Times New Roman" w:hAnsi="Times New Roman" w:cs="Times New Roman"/>
              </w:rPr>
            </w:pPr>
            <w:r w:rsidRPr="00816C6E">
              <w:rPr>
                <w:rFonts w:ascii="Times New Roman" w:hAnsi="Times New Roman" w:cs="Times New Roman"/>
              </w:rPr>
              <w:t>0.759</w:t>
            </w:r>
          </w:p>
        </w:tc>
        <w:tc>
          <w:tcPr>
            <w:tcW w:w="756" w:type="dxa"/>
            <w:vMerge/>
          </w:tcPr>
          <w:p w14:paraId="21B9D5B9" w14:textId="77777777" w:rsidR="00ED4759" w:rsidRPr="00816C6E" w:rsidRDefault="00ED4759" w:rsidP="000C3CC7">
            <w:pPr>
              <w:rPr>
                <w:rFonts w:ascii="Times New Roman" w:hAnsi="Times New Roman" w:cs="Times New Roman"/>
              </w:rPr>
            </w:pPr>
          </w:p>
        </w:tc>
        <w:tc>
          <w:tcPr>
            <w:tcW w:w="756" w:type="dxa"/>
            <w:vMerge/>
          </w:tcPr>
          <w:p w14:paraId="7148D46C" w14:textId="77777777" w:rsidR="00ED4759" w:rsidRPr="00816C6E" w:rsidRDefault="00ED4759" w:rsidP="000C3CC7">
            <w:pPr>
              <w:rPr>
                <w:rFonts w:ascii="Times New Roman" w:hAnsi="Times New Roman" w:cs="Times New Roman"/>
              </w:rPr>
            </w:pPr>
          </w:p>
        </w:tc>
        <w:tc>
          <w:tcPr>
            <w:tcW w:w="756" w:type="dxa"/>
            <w:vMerge/>
          </w:tcPr>
          <w:p w14:paraId="120A389C" w14:textId="77777777" w:rsidR="00ED4759" w:rsidRPr="00816C6E" w:rsidRDefault="00ED4759" w:rsidP="000C3CC7">
            <w:pPr>
              <w:rPr>
                <w:rFonts w:ascii="Times New Roman" w:hAnsi="Times New Roman" w:cs="Times New Roman"/>
              </w:rPr>
            </w:pPr>
          </w:p>
        </w:tc>
      </w:tr>
    </w:tbl>
    <w:p w14:paraId="515B2A44" w14:textId="7338FEBC" w:rsidR="00ED4759" w:rsidRPr="00816C6E" w:rsidRDefault="00D94758" w:rsidP="00ED4759">
      <w:pPr>
        <w:pStyle w:val="MDPI21heading1"/>
        <w:spacing w:before="0" w:after="0" w:line="240" w:lineRule="auto"/>
        <w:ind w:left="0"/>
        <w:jc w:val="both"/>
        <w:rPr>
          <w:rFonts w:ascii="Times New Roman" w:hAnsi="Times New Roman"/>
          <w:b w:val="0"/>
          <w:color w:val="000000" w:themeColor="text1"/>
          <w:sz w:val="26"/>
          <w:szCs w:val="26"/>
        </w:rPr>
      </w:pPr>
      <w:r w:rsidRPr="005B2097">
        <w:rPr>
          <w:rFonts w:ascii="Times New Roman" w:hAnsi="Times New Roman"/>
          <w:b w:val="0"/>
          <w:i/>
          <w:iCs/>
          <w:color w:val="000000" w:themeColor="text1"/>
          <w:sz w:val="26"/>
          <w:szCs w:val="26"/>
        </w:rPr>
        <w:t>Source</w:t>
      </w:r>
      <w:r w:rsidR="005B2097">
        <w:rPr>
          <w:rFonts w:ascii="Times New Roman" w:hAnsi="Times New Roman"/>
          <w:b w:val="0"/>
          <w:color w:val="000000" w:themeColor="text1"/>
          <w:sz w:val="26"/>
          <w:szCs w:val="26"/>
        </w:rPr>
        <w:t>.</w:t>
      </w:r>
      <w:r w:rsidR="005B2097" w:rsidRPr="00816C6E">
        <w:rPr>
          <w:rFonts w:ascii="Times New Roman" w:hAnsi="Times New Roman"/>
          <w:b w:val="0"/>
          <w:color w:val="000000" w:themeColor="text1"/>
          <w:sz w:val="26"/>
          <w:szCs w:val="26"/>
        </w:rPr>
        <w:t xml:space="preserve"> </w:t>
      </w:r>
      <w:r w:rsidRPr="00816C6E">
        <w:rPr>
          <w:rFonts w:ascii="Times New Roman" w:hAnsi="Times New Roman"/>
          <w:b w:val="0"/>
          <w:color w:val="000000" w:themeColor="text1"/>
          <w:sz w:val="26"/>
          <w:szCs w:val="26"/>
        </w:rPr>
        <w:t xml:space="preserve">Author’s work. </w:t>
      </w:r>
    </w:p>
    <w:p w14:paraId="31715AC8" w14:textId="77777777" w:rsidR="00ED4759" w:rsidRPr="00816C6E" w:rsidRDefault="00ED4759" w:rsidP="00ED4759">
      <w:pPr>
        <w:jc w:val="both"/>
        <w:rPr>
          <w:rFonts w:ascii="Times New Roman" w:hAnsi="Times New Roman" w:cs="Times New Roman"/>
          <w:b/>
          <w:bCs/>
          <w:color w:val="000000"/>
          <w:sz w:val="24"/>
          <w:szCs w:val="24"/>
        </w:rPr>
      </w:pPr>
    </w:p>
    <w:p w14:paraId="64B46998"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Based on Table 1, the item loading values demonstrate that the indicators used in this research are adequate. SEN3, AFF1, INT3, OBE1, OBE2, OBE3, OBE6, and OBE10</w:t>
      </w:r>
      <w:r w:rsidRPr="00816C6E">
        <w:rPr>
          <w:rFonts w:ascii="Times New Roman" w:hAnsi="Times New Roman" w:cs="Times New Roman"/>
          <w:color w:val="000000"/>
          <w:sz w:val="26"/>
          <w:szCs w:val="26"/>
        </w:rPr>
        <w:t xml:space="preserve"> have loading values below the standard. Furthermore, items that load below the reference value are deleted and not processed further for structural model testing before being discarded. Hair and </w:t>
      </w:r>
      <w:proofErr w:type="spellStart"/>
      <w:r w:rsidRPr="00816C6E">
        <w:rPr>
          <w:rFonts w:ascii="Times New Roman" w:hAnsi="Times New Roman" w:cs="Times New Roman"/>
          <w:color w:val="000000"/>
          <w:sz w:val="26"/>
          <w:szCs w:val="26"/>
        </w:rPr>
        <w:t>Alamer</w:t>
      </w:r>
      <w:proofErr w:type="spellEnd"/>
      <w:r w:rsidRPr="00816C6E">
        <w:rPr>
          <w:rFonts w:ascii="Times New Roman" w:hAnsi="Times New Roman" w:cs="Times New Roman"/>
          <w:color w:val="000000"/>
          <w:sz w:val="26"/>
          <w:szCs w:val="26"/>
        </w:rPr>
        <w:t xml:space="preserve"> (2022) recommend removing indicators (items) with loadings below a specified threshold to ensure construct validity and reliability in Structural Equation Modeling (SEM). </w:t>
      </w:r>
      <w:r w:rsidRPr="005E694C">
        <w:rPr>
          <w:rFonts w:ascii="Times New Roman" w:hAnsi="Times New Roman" w:cs="Times New Roman"/>
          <w:color w:val="000000"/>
          <w:sz w:val="26"/>
          <w:szCs w:val="26"/>
        </w:rPr>
        <w:t>The Cronbach’s Alpha and CR values exceed the reference value of 0.700, indicating that the construct is reliable. Based on these findings, the scale used in this study is valid.</w:t>
      </w:r>
      <w:r w:rsidRPr="00816C6E">
        <w:rPr>
          <w:rFonts w:ascii="Times New Roman" w:hAnsi="Times New Roman" w:cs="Times New Roman"/>
          <w:color w:val="000000"/>
          <w:sz w:val="26"/>
          <w:szCs w:val="26"/>
        </w:rPr>
        <w:t xml:space="preserve"> </w:t>
      </w:r>
    </w:p>
    <w:p w14:paraId="7843DC3C"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 xml:space="preserve">A convergent validity test is required to ensure that each indicator's correlation with its construct or latent variable is positive. The Smart PLS test results show AVE values between 0.578 and 0.658, exceeding the reference value of 0.50, indicating that the variables related to the construct explain more variance than those not associated with it. </w:t>
      </w:r>
    </w:p>
    <w:p w14:paraId="5E64D8D7"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This study also tested multicollinearity with indicator weights and variance inflation factors to evaluate the measurement model (VIF). Multicollinearity examines how indicator correlations affect the standard errors of estimated weights. Weight is used to assess an indicator’s relative contribution to its construction (Benitez et al</w:t>
      </w:r>
      <w:r w:rsidR="003E1376">
        <w:rPr>
          <w:rFonts w:ascii="Times New Roman" w:hAnsi="Times New Roman" w:cs="Times New Roman"/>
          <w:color w:val="000000"/>
          <w:sz w:val="26"/>
          <w:szCs w:val="26"/>
        </w:rPr>
        <w:t>.</w:t>
      </w:r>
      <w:r w:rsidRPr="00816C6E">
        <w:rPr>
          <w:rFonts w:ascii="Times New Roman" w:hAnsi="Times New Roman" w:cs="Times New Roman"/>
          <w:color w:val="000000"/>
          <w:sz w:val="26"/>
          <w:szCs w:val="26"/>
        </w:rPr>
        <w:t>, 2020). The test results show that all VIF values are between 1 and 3, indicating no serious multicollinearity in this study. Furthermore, all indicator weights are large and significant at the 0.1% level.</w:t>
      </w:r>
    </w:p>
    <w:p w14:paraId="5DDF9170"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 xml:space="preserve">Discriminant validity implies that two conceptually distinct constructs must also be statistically different. The </w:t>
      </w:r>
      <w:proofErr w:type="spellStart"/>
      <w:r w:rsidRPr="00816C6E">
        <w:rPr>
          <w:rFonts w:ascii="Times New Roman" w:hAnsi="Times New Roman" w:cs="Times New Roman"/>
          <w:color w:val="000000"/>
          <w:sz w:val="26"/>
          <w:szCs w:val="26"/>
        </w:rPr>
        <w:t>Fornell-Larcker</w:t>
      </w:r>
      <w:proofErr w:type="spellEnd"/>
      <w:r w:rsidRPr="00816C6E">
        <w:rPr>
          <w:rFonts w:ascii="Times New Roman" w:hAnsi="Times New Roman" w:cs="Times New Roman"/>
          <w:color w:val="000000"/>
          <w:sz w:val="26"/>
          <w:szCs w:val="26"/>
        </w:rPr>
        <w:t xml:space="preserve"> criteria for evaluating discriminant validity are shown in the table below. According to </w:t>
      </w:r>
      <w:proofErr w:type="spellStart"/>
      <w:r w:rsidRPr="00816C6E">
        <w:rPr>
          <w:rFonts w:ascii="Times New Roman" w:hAnsi="Times New Roman" w:cs="Times New Roman"/>
          <w:color w:val="000000"/>
          <w:sz w:val="26"/>
          <w:szCs w:val="26"/>
        </w:rPr>
        <w:t>Fornell</w:t>
      </w:r>
      <w:proofErr w:type="spellEnd"/>
      <w:r w:rsidRPr="00816C6E">
        <w:rPr>
          <w:rFonts w:ascii="Times New Roman" w:hAnsi="Times New Roman" w:cs="Times New Roman"/>
          <w:color w:val="000000"/>
          <w:sz w:val="26"/>
          <w:szCs w:val="26"/>
        </w:rPr>
        <w:t xml:space="preserve"> and </w:t>
      </w:r>
      <w:proofErr w:type="spellStart"/>
      <w:r w:rsidRPr="00816C6E">
        <w:rPr>
          <w:rFonts w:ascii="Times New Roman" w:hAnsi="Times New Roman" w:cs="Times New Roman"/>
          <w:color w:val="000000"/>
          <w:sz w:val="26"/>
          <w:szCs w:val="26"/>
        </w:rPr>
        <w:t>Larcker</w:t>
      </w:r>
      <w:proofErr w:type="spellEnd"/>
      <w:r w:rsidRPr="00816C6E">
        <w:rPr>
          <w:rFonts w:ascii="Times New Roman" w:hAnsi="Times New Roman" w:cs="Times New Roman"/>
          <w:color w:val="000000"/>
          <w:sz w:val="26"/>
          <w:szCs w:val="26"/>
        </w:rPr>
        <w:t xml:space="preserve"> (1981), the mean-variance ratio of the extracted constructs should exceed the squared correlations of each construct with all other constructs in the model. The findings of this study show that all latent variables met these requirements, indicating that discriminant validity was achieved. As a result, testing for convergent and discriminant validity in this study revealed good construct validity and reliability. The data processing results using the </w:t>
      </w:r>
      <w:proofErr w:type="spellStart"/>
      <w:r w:rsidRPr="00816C6E">
        <w:rPr>
          <w:rFonts w:ascii="Times New Roman" w:hAnsi="Times New Roman" w:cs="Times New Roman"/>
          <w:color w:val="000000"/>
          <w:sz w:val="26"/>
          <w:szCs w:val="26"/>
        </w:rPr>
        <w:t>Fornell-Larcker</w:t>
      </w:r>
      <w:proofErr w:type="spellEnd"/>
      <w:r w:rsidRPr="00816C6E">
        <w:rPr>
          <w:rFonts w:ascii="Times New Roman" w:hAnsi="Times New Roman" w:cs="Times New Roman"/>
          <w:color w:val="000000"/>
          <w:sz w:val="26"/>
          <w:szCs w:val="26"/>
        </w:rPr>
        <w:t xml:space="preserve"> Criterion and </w:t>
      </w:r>
      <w:proofErr w:type="spellStart"/>
      <w:r w:rsidRPr="00816C6E">
        <w:rPr>
          <w:rFonts w:ascii="Times New Roman" w:hAnsi="Times New Roman" w:cs="Times New Roman"/>
          <w:color w:val="000000"/>
          <w:sz w:val="26"/>
          <w:szCs w:val="26"/>
        </w:rPr>
        <w:t>Heterotrait-Monotrait</w:t>
      </w:r>
      <w:proofErr w:type="spellEnd"/>
      <w:r w:rsidRPr="00816C6E">
        <w:rPr>
          <w:rFonts w:ascii="Times New Roman" w:hAnsi="Times New Roman" w:cs="Times New Roman"/>
          <w:color w:val="000000"/>
          <w:sz w:val="26"/>
          <w:szCs w:val="26"/>
        </w:rPr>
        <w:t xml:space="preserve"> Ratio (HTMT) approach indicate the AVE for each construct. Table 2 presents the value of the </w:t>
      </w:r>
      <w:proofErr w:type="spellStart"/>
      <w:r w:rsidRPr="00816C6E">
        <w:rPr>
          <w:rFonts w:ascii="Times New Roman" w:hAnsi="Times New Roman" w:cs="Times New Roman"/>
          <w:color w:val="000000"/>
          <w:sz w:val="26"/>
          <w:szCs w:val="26"/>
        </w:rPr>
        <w:t>Fornell-Larcker</w:t>
      </w:r>
      <w:proofErr w:type="spellEnd"/>
      <w:r w:rsidRPr="00816C6E">
        <w:rPr>
          <w:rFonts w:ascii="Times New Roman" w:hAnsi="Times New Roman" w:cs="Times New Roman"/>
          <w:color w:val="000000"/>
          <w:sz w:val="26"/>
          <w:szCs w:val="26"/>
        </w:rPr>
        <w:t xml:space="preserve"> criterion, and Table 3 presents the </w:t>
      </w:r>
      <w:proofErr w:type="spellStart"/>
      <w:r w:rsidRPr="00816C6E">
        <w:rPr>
          <w:rFonts w:ascii="Times New Roman" w:hAnsi="Times New Roman" w:cs="Times New Roman"/>
          <w:color w:val="000000"/>
          <w:sz w:val="26"/>
          <w:szCs w:val="26"/>
        </w:rPr>
        <w:t>Heterotrait-Monotrait</w:t>
      </w:r>
      <w:proofErr w:type="spellEnd"/>
      <w:r w:rsidRPr="00816C6E">
        <w:rPr>
          <w:rFonts w:ascii="Times New Roman" w:hAnsi="Times New Roman" w:cs="Times New Roman"/>
          <w:color w:val="000000"/>
          <w:sz w:val="26"/>
          <w:szCs w:val="26"/>
        </w:rPr>
        <w:t xml:space="preserve"> Ratio (HTMT) for the constructs used in the study.</w:t>
      </w:r>
    </w:p>
    <w:p w14:paraId="64DB4DA7" w14:textId="77777777" w:rsidR="00ED4759" w:rsidRPr="00816C6E" w:rsidRDefault="00ED4759" w:rsidP="00ED4759">
      <w:pPr>
        <w:spacing w:after="0" w:line="360" w:lineRule="exact"/>
        <w:ind w:firstLine="567"/>
        <w:jc w:val="both"/>
        <w:rPr>
          <w:rFonts w:ascii="Times New Roman" w:hAnsi="Times New Roman" w:cs="Times New Roman"/>
          <w:iCs/>
          <w:sz w:val="24"/>
          <w:szCs w:val="24"/>
        </w:rPr>
      </w:pPr>
    </w:p>
    <w:p w14:paraId="4C3EE2F3" w14:textId="77777777" w:rsidR="00ED4759" w:rsidRPr="00816C6E" w:rsidRDefault="00D94758" w:rsidP="00ED4759">
      <w:pPr>
        <w:spacing w:after="0" w:line="240" w:lineRule="auto"/>
        <w:jc w:val="both"/>
        <w:rPr>
          <w:rFonts w:ascii="Times New Roman" w:hAnsi="Times New Roman" w:cs="Times New Roman"/>
          <w:color w:val="000000" w:themeColor="text1"/>
          <w:sz w:val="26"/>
          <w:szCs w:val="26"/>
        </w:rPr>
      </w:pPr>
      <w:r w:rsidRPr="00816C6E">
        <w:rPr>
          <w:rFonts w:ascii="Times New Roman" w:hAnsi="Times New Roman" w:cs="Times New Roman"/>
          <w:b/>
          <w:bCs/>
          <w:color w:val="000000" w:themeColor="text1"/>
          <w:sz w:val="26"/>
          <w:szCs w:val="26"/>
        </w:rPr>
        <w:t>Table 2</w:t>
      </w:r>
      <w:r w:rsidRPr="00816C6E">
        <w:rPr>
          <w:rFonts w:ascii="Times New Roman" w:hAnsi="Times New Roman" w:cs="Times New Roman"/>
          <w:color w:val="000000" w:themeColor="text1"/>
          <w:sz w:val="26"/>
          <w:szCs w:val="26"/>
        </w:rPr>
        <w:t xml:space="preserve">: </w:t>
      </w:r>
      <w:proofErr w:type="spellStart"/>
      <w:r w:rsidRPr="00816C6E">
        <w:rPr>
          <w:rFonts w:ascii="Times New Roman" w:hAnsi="Times New Roman" w:cs="Times New Roman"/>
          <w:i/>
          <w:iCs/>
          <w:color w:val="000000" w:themeColor="text1"/>
          <w:sz w:val="26"/>
          <w:szCs w:val="26"/>
        </w:rPr>
        <w:t>Fornell-Larcker</w:t>
      </w:r>
      <w:proofErr w:type="spellEnd"/>
      <w:r w:rsidRPr="00816C6E">
        <w:rPr>
          <w:rFonts w:ascii="Times New Roman" w:hAnsi="Times New Roman" w:cs="Times New Roman"/>
          <w:i/>
          <w:iCs/>
          <w:color w:val="000000" w:themeColor="text1"/>
          <w:sz w:val="26"/>
          <w:szCs w:val="26"/>
        </w:rPr>
        <w:t xml:space="preserve"> Criterion</w:t>
      </w:r>
    </w:p>
    <w:tbl>
      <w:tblPr>
        <w:tblW w:w="9173" w:type="dxa"/>
        <w:tblInd w:w="113" w:type="dxa"/>
        <w:tblBorders>
          <w:top w:val="single" w:sz="4" w:space="0" w:color="auto"/>
          <w:bottom w:val="single" w:sz="4" w:space="0" w:color="auto"/>
          <w:insideH w:val="single" w:sz="4" w:space="0" w:color="auto"/>
        </w:tblBorders>
        <w:tblLook w:val="04A0" w:firstRow="1" w:lastRow="0" w:firstColumn="1" w:lastColumn="0" w:noHBand="0" w:noVBand="1"/>
      </w:tblPr>
      <w:tblGrid>
        <w:gridCol w:w="3810"/>
        <w:gridCol w:w="1856"/>
        <w:gridCol w:w="1650"/>
        <w:gridCol w:w="1857"/>
      </w:tblGrid>
      <w:tr w:rsidR="00931359" w14:paraId="15F7B8A5" w14:textId="77777777" w:rsidTr="000C3CC7">
        <w:trPr>
          <w:trHeight w:val="237"/>
        </w:trPr>
        <w:tc>
          <w:tcPr>
            <w:tcW w:w="3810" w:type="dxa"/>
            <w:noWrap/>
            <w:vAlign w:val="center"/>
            <w:hideMark/>
          </w:tcPr>
          <w:p w14:paraId="2395519B" w14:textId="77777777" w:rsidR="00ED4759" w:rsidRPr="00816C6E" w:rsidRDefault="00D94758" w:rsidP="000C3CC7">
            <w:pPr>
              <w:spacing w:after="0" w:line="240" w:lineRule="auto"/>
              <w:jc w:val="center"/>
              <w:rPr>
                <w:rFonts w:ascii="Times New Roman" w:eastAsia="Times New Roman" w:hAnsi="Times New Roman" w:cs="Times New Roman"/>
                <w:b/>
                <w:bCs/>
                <w:color w:val="000000" w:themeColor="text1"/>
                <w:sz w:val="24"/>
                <w:szCs w:val="24"/>
              </w:rPr>
            </w:pPr>
            <w:r w:rsidRPr="00816C6E">
              <w:rPr>
                <w:rFonts w:ascii="Times New Roman" w:eastAsia="Times New Roman" w:hAnsi="Times New Roman" w:cs="Times New Roman"/>
                <w:b/>
                <w:bCs/>
                <w:color w:val="000000" w:themeColor="text1"/>
                <w:sz w:val="24"/>
                <w:szCs w:val="24"/>
              </w:rPr>
              <w:t>Construct</w:t>
            </w:r>
          </w:p>
        </w:tc>
        <w:tc>
          <w:tcPr>
            <w:tcW w:w="1856" w:type="dxa"/>
            <w:noWrap/>
            <w:vAlign w:val="center"/>
            <w:hideMark/>
          </w:tcPr>
          <w:p w14:paraId="32686C2B" w14:textId="77777777" w:rsidR="00ED4759" w:rsidRPr="00816C6E" w:rsidRDefault="00D94758" w:rsidP="000C3CC7">
            <w:pPr>
              <w:spacing w:after="0" w:line="240" w:lineRule="auto"/>
              <w:jc w:val="center"/>
              <w:rPr>
                <w:rFonts w:ascii="Times New Roman" w:eastAsia="Times New Roman" w:hAnsi="Times New Roman" w:cs="Times New Roman"/>
                <w:b/>
                <w:bCs/>
                <w:color w:val="000000" w:themeColor="text1"/>
                <w:sz w:val="24"/>
                <w:szCs w:val="24"/>
              </w:rPr>
            </w:pPr>
            <w:r w:rsidRPr="00816C6E">
              <w:rPr>
                <w:rFonts w:ascii="Times New Roman" w:eastAsia="Times New Roman" w:hAnsi="Times New Roman" w:cs="Times New Roman"/>
                <w:b/>
                <w:bCs/>
                <w:color w:val="000000" w:themeColor="text1"/>
                <w:sz w:val="24"/>
                <w:szCs w:val="24"/>
              </w:rPr>
              <w:t>Brand Equity</w:t>
            </w:r>
          </w:p>
        </w:tc>
        <w:tc>
          <w:tcPr>
            <w:tcW w:w="1650" w:type="dxa"/>
            <w:noWrap/>
            <w:vAlign w:val="center"/>
            <w:hideMark/>
          </w:tcPr>
          <w:p w14:paraId="6B0A84AF" w14:textId="77777777" w:rsidR="00ED4759" w:rsidRPr="00816C6E" w:rsidRDefault="00D94758" w:rsidP="000C3CC7">
            <w:pPr>
              <w:spacing w:after="0" w:line="240" w:lineRule="auto"/>
              <w:jc w:val="center"/>
              <w:rPr>
                <w:rFonts w:ascii="Times New Roman" w:eastAsia="Times New Roman" w:hAnsi="Times New Roman" w:cs="Times New Roman"/>
                <w:b/>
                <w:bCs/>
                <w:color w:val="000000" w:themeColor="text1"/>
                <w:sz w:val="24"/>
                <w:szCs w:val="24"/>
              </w:rPr>
            </w:pPr>
            <w:r w:rsidRPr="00816C6E">
              <w:rPr>
                <w:rFonts w:ascii="Times New Roman" w:eastAsia="Times New Roman" w:hAnsi="Times New Roman" w:cs="Times New Roman"/>
                <w:b/>
                <w:bCs/>
                <w:color w:val="000000" w:themeColor="text1"/>
                <w:sz w:val="24"/>
                <w:szCs w:val="24"/>
              </w:rPr>
              <w:t>Brand Experience</w:t>
            </w:r>
          </w:p>
        </w:tc>
        <w:tc>
          <w:tcPr>
            <w:tcW w:w="1857" w:type="dxa"/>
            <w:noWrap/>
            <w:vAlign w:val="center"/>
            <w:hideMark/>
          </w:tcPr>
          <w:p w14:paraId="0D913054" w14:textId="77777777" w:rsidR="00ED4759" w:rsidRPr="00816C6E" w:rsidRDefault="00D94758" w:rsidP="000C3CC7">
            <w:pPr>
              <w:spacing w:after="0" w:line="240" w:lineRule="auto"/>
              <w:jc w:val="center"/>
              <w:rPr>
                <w:rFonts w:ascii="Times New Roman" w:eastAsia="Times New Roman" w:hAnsi="Times New Roman" w:cs="Times New Roman"/>
                <w:b/>
                <w:bCs/>
                <w:color w:val="000000" w:themeColor="text1"/>
                <w:sz w:val="24"/>
                <w:szCs w:val="24"/>
              </w:rPr>
            </w:pPr>
            <w:r w:rsidRPr="00816C6E">
              <w:rPr>
                <w:rFonts w:ascii="Times New Roman" w:eastAsia="Times New Roman" w:hAnsi="Times New Roman" w:cs="Times New Roman"/>
                <w:b/>
                <w:bCs/>
                <w:color w:val="000000" w:themeColor="text1"/>
                <w:sz w:val="24"/>
                <w:szCs w:val="24"/>
              </w:rPr>
              <w:t>Brand Engagement</w:t>
            </w:r>
          </w:p>
        </w:tc>
      </w:tr>
      <w:tr w:rsidR="00931359" w14:paraId="71C2B893" w14:textId="77777777" w:rsidTr="007C5CC3">
        <w:trPr>
          <w:trHeight w:val="397"/>
        </w:trPr>
        <w:tc>
          <w:tcPr>
            <w:tcW w:w="3810" w:type="dxa"/>
            <w:noWrap/>
            <w:vAlign w:val="center"/>
            <w:hideMark/>
          </w:tcPr>
          <w:p w14:paraId="5B735946"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Brand Equity</w:t>
            </w:r>
          </w:p>
        </w:tc>
        <w:tc>
          <w:tcPr>
            <w:tcW w:w="1856" w:type="dxa"/>
            <w:noWrap/>
            <w:vAlign w:val="center"/>
            <w:hideMark/>
          </w:tcPr>
          <w:p w14:paraId="7334A945"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0.760</w:t>
            </w:r>
          </w:p>
        </w:tc>
        <w:tc>
          <w:tcPr>
            <w:tcW w:w="1650" w:type="dxa"/>
            <w:noWrap/>
            <w:vAlign w:val="center"/>
            <w:hideMark/>
          </w:tcPr>
          <w:p w14:paraId="464EA9E9" w14:textId="77777777" w:rsidR="00ED4759" w:rsidRPr="00816C6E" w:rsidRDefault="00ED4759" w:rsidP="000C3CC7">
            <w:pPr>
              <w:spacing w:after="0" w:line="240" w:lineRule="auto"/>
              <w:jc w:val="center"/>
              <w:rPr>
                <w:rFonts w:ascii="Times New Roman" w:eastAsia="Times New Roman" w:hAnsi="Times New Roman" w:cs="Times New Roman"/>
                <w:color w:val="000000" w:themeColor="text1"/>
                <w:sz w:val="24"/>
                <w:szCs w:val="24"/>
              </w:rPr>
            </w:pPr>
          </w:p>
        </w:tc>
        <w:tc>
          <w:tcPr>
            <w:tcW w:w="1857" w:type="dxa"/>
            <w:noWrap/>
            <w:vAlign w:val="center"/>
            <w:hideMark/>
          </w:tcPr>
          <w:p w14:paraId="52D93492" w14:textId="77777777" w:rsidR="00ED4759" w:rsidRPr="00816C6E" w:rsidRDefault="00ED4759" w:rsidP="000C3CC7">
            <w:pPr>
              <w:spacing w:after="0" w:line="240" w:lineRule="auto"/>
              <w:jc w:val="center"/>
              <w:rPr>
                <w:rFonts w:ascii="Times New Roman" w:eastAsia="Times New Roman" w:hAnsi="Times New Roman" w:cs="Times New Roman"/>
                <w:color w:val="000000" w:themeColor="text1"/>
                <w:sz w:val="24"/>
                <w:szCs w:val="24"/>
              </w:rPr>
            </w:pPr>
          </w:p>
        </w:tc>
      </w:tr>
      <w:tr w:rsidR="00931359" w14:paraId="3D743C6B" w14:textId="77777777" w:rsidTr="007C5CC3">
        <w:trPr>
          <w:trHeight w:val="397"/>
        </w:trPr>
        <w:tc>
          <w:tcPr>
            <w:tcW w:w="3810" w:type="dxa"/>
            <w:noWrap/>
            <w:vAlign w:val="center"/>
            <w:hideMark/>
          </w:tcPr>
          <w:p w14:paraId="562FE30D"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Brand Experience</w:t>
            </w:r>
          </w:p>
        </w:tc>
        <w:tc>
          <w:tcPr>
            <w:tcW w:w="1856" w:type="dxa"/>
            <w:noWrap/>
            <w:vAlign w:val="center"/>
            <w:hideMark/>
          </w:tcPr>
          <w:p w14:paraId="0626491C"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0.886</w:t>
            </w:r>
          </w:p>
        </w:tc>
        <w:tc>
          <w:tcPr>
            <w:tcW w:w="1650" w:type="dxa"/>
            <w:noWrap/>
            <w:vAlign w:val="center"/>
            <w:hideMark/>
          </w:tcPr>
          <w:p w14:paraId="05CF736B"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0.800</w:t>
            </w:r>
          </w:p>
        </w:tc>
        <w:tc>
          <w:tcPr>
            <w:tcW w:w="1857" w:type="dxa"/>
            <w:noWrap/>
            <w:vAlign w:val="center"/>
            <w:hideMark/>
          </w:tcPr>
          <w:p w14:paraId="028B84D9" w14:textId="77777777" w:rsidR="00ED4759" w:rsidRPr="00816C6E" w:rsidRDefault="00ED4759" w:rsidP="000C3CC7">
            <w:pPr>
              <w:spacing w:after="0" w:line="240" w:lineRule="auto"/>
              <w:jc w:val="center"/>
              <w:rPr>
                <w:rFonts w:ascii="Times New Roman" w:eastAsia="Times New Roman" w:hAnsi="Times New Roman" w:cs="Times New Roman"/>
                <w:color w:val="000000" w:themeColor="text1"/>
                <w:sz w:val="24"/>
                <w:szCs w:val="24"/>
              </w:rPr>
            </w:pPr>
          </w:p>
        </w:tc>
      </w:tr>
      <w:tr w:rsidR="00931359" w14:paraId="018B5D48" w14:textId="77777777" w:rsidTr="007C5CC3">
        <w:trPr>
          <w:trHeight w:val="397"/>
        </w:trPr>
        <w:tc>
          <w:tcPr>
            <w:tcW w:w="3810" w:type="dxa"/>
            <w:noWrap/>
            <w:vAlign w:val="center"/>
            <w:hideMark/>
          </w:tcPr>
          <w:p w14:paraId="2F3EA892"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Brand Engagement</w:t>
            </w:r>
          </w:p>
        </w:tc>
        <w:tc>
          <w:tcPr>
            <w:tcW w:w="1856" w:type="dxa"/>
            <w:noWrap/>
            <w:vAlign w:val="center"/>
            <w:hideMark/>
          </w:tcPr>
          <w:p w14:paraId="11D5AF66"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0.837</w:t>
            </w:r>
          </w:p>
        </w:tc>
        <w:tc>
          <w:tcPr>
            <w:tcW w:w="1650" w:type="dxa"/>
            <w:noWrap/>
            <w:vAlign w:val="center"/>
            <w:hideMark/>
          </w:tcPr>
          <w:p w14:paraId="4DB6A509"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0.754</w:t>
            </w:r>
          </w:p>
        </w:tc>
        <w:tc>
          <w:tcPr>
            <w:tcW w:w="1857" w:type="dxa"/>
            <w:noWrap/>
            <w:vAlign w:val="center"/>
            <w:hideMark/>
          </w:tcPr>
          <w:p w14:paraId="72E620F5"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0.811</w:t>
            </w:r>
          </w:p>
        </w:tc>
      </w:tr>
    </w:tbl>
    <w:p w14:paraId="5A863373" w14:textId="6487F725" w:rsidR="00ED4759" w:rsidRPr="00816C6E" w:rsidRDefault="00D94758" w:rsidP="00ED4759">
      <w:pPr>
        <w:spacing w:after="0" w:line="240" w:lineRule="auto"/>
        <w:jc w:val="both"/>
        <w:rPr>
          <w:rFonts w:ascii="Times New Roman" w:hAnsi="Times New Roman" w:cs="Times New Roman"/>
          <w:color w:val="000000" w:themeColor="text1"/>
          <w:sz w:val="24"/>
          <w:szCs w:val="24"/>
        </w:rPr>
      </w:pPr>
      <w:r w:rsidRPr="005B2097">
        <w:rPr>
          <w:rFonts w:ascii="Times New Roman" w:hAnsi="Times New Roman" w:cs="Times New Roman"/>
          <w:i/>
          <w:iCs/>
          <w:color w:val="000000" w:themeColor="text1"/>
          <w:sz w:val="24"/>
          <w:szCs w:val="24"/>
        </w:rPr>
        <w:t>Source</w:t>
      </w:r>
      <w:r w:rsidR="005B2097">
        <w:rPr>
          <w:rFonts w:ascii="Times New Roman" w:hAnsi="Times New Roman" w:cs="Times New Roman"/>
          <w:color w:val="000000" w:themeColor="text1"/>
          <w:sz w:val="24"/>
          <w:szCs w:val="24"/>
        </w:rPr>
        <w:t>.</w:t>
      </w:r>
      <w:r w:rsidRPr="00816C6E">
        <w:rPr>
          <w:rFonts w:ascii="Times New Roman" w:hAnsi="Times New Roman" w:cs="Times New Roman"/>
          <w:color w:val="000000" w:themeColor="text1"/>
          <w:sz w:val="24"/>
          <w:szCs w:val="24"/>
        </w:rPr>
        <w:t xml:space="preserve"> Author’s Work. </w:t>
      </w:r>
    </w:p>
    <w:p w14:paraId="6970A7A1" w14:textId="77777777" w:rsidR="00ED4759" w:rsidRPr="00816C6E" w:rsidRDefault="00ED4759" w:rsidP="00ED4759">
      <w:pPr>
        <w:spacing w:after="0" w:line="240" w:lineRule="auto"/>
        <w:jc w:val="both"/>
        <w:rPr>
          <w:rFonts w:ascii="Times New Roman" w:hAnsi="Times New Roman" w:cs="Times New Roman"/>
          <w:b/>
          <w:bCs/>
          <w:color w:val="000000" w:themeColor="text1"/>
          <w:sz w:val="24"/>
          <w:szCs w:val="24"/>
        </w:rPr>
      </w:pPr>
    </w:p>
    <w:p w14:paraId="21DBC387" w14:textId="77777777" w:rsidR="00ED4759" w:rsidRPr="00816C6E" w:rsidRDefault="00D94758" w:rsidP="00ED4759">
      <w:pPr>
        <w:spacing w:after="0" w:line="240" w:lineRule="auto"/>
        <w:jc w:val="both"/>
        <w:rPr>
          <w:rFonts w:ascii="Times New Roman" w:hAnsi="Times New Roman" w:cs="Times New Roman"/>
          <w:i/>
          <w:iCs/>
          <w:color w:val="000000" w:themeColor="text1"/>
          <w:sz w:val="26"/>
          <w:szCs w:val="26"/>
        </w:rPr>
      </w:pPr>
      <w:r w:rsidRPr="00816C6E">
        <w:rPr>
          <w:rFonts w:ascii="Times New Roman" w:hAnsi="Times New Roman" w:cs="Times New Roman"/>
          <w:b/>
          <w:bCs/>
          <w:color w:val="000000" w:themeColor="text1"/>
          <w:sz w:val="26"/>
          <w:szCs w:val="26"/>
        </w:rPr>
        <w:t>Table 3</w:t>
      </w:r>
      <w:r w:rsidRPr="00816C6E">
        <w:rPr>
          <w:rFonts w:ascii="Times New Roman" w:hAnsi="Times New Roman" w:cs="Times New Roman"/>
          <w:color w:val="000000" w:themeColor="text1"/>
          <w:sz w:val="26"/>
          <w:szCs w:val="26"/>
        </w:rPr>
        <w:t xml:space="preserve"> </w:t>
      </w:r>
      <w:proofErr w:type="spellStart"/>
      <w:r w:rsidRPr="00816C6E">
        <w:rPr>
          <w:rFonts w:ascii="Times New Roman" w:hAnsi="Times New Roman" w:cs="Times New Roman"/>
          <w:i/>
          <w:iCs/>
          <w:color w:val="000000" w:themeColor="text1"/>
          <w:sz w:val="26"/>
          <w:szCs w:val="26"/>
        </w:rPr>
        <w:t>Heterotrait-Monotrait</w:t>
      </w:r>
      <w:proofErr w:type="spellEnd"/>
      <w:r w:rsidRPr="00816C6E">
        <w:rPr>
          <w:rFonts w:ascii="Times New Roman" w:hAnsi="Times New Roman" w:cs="Times New Roman"/>
          <w:i/>
          <w:iCs/>
          <w:color w:val="000000" w:themeColor="text1"/>
          <w:sz w:val="26"/>
          <w:szCs w:val="26"/>
        </w:rPr>
        <w:t xml:space="preserve"> Ratio (HTMT)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691"/>
        <w:gridCol w:w="1746"/>
        <w:gridCol w:w="1746"/>
        <w:gridCol w:w="1846"/>
      </w:tblGrid>
      <w:tr w:rsidR="00931359" w14:paraId="2F310738" w14:textId="77777777" w:rsidTr="005B2097">
        <w:trPr>
          <w:trHeight w:val="397"/>
        </w:trPr>
        <w:tc>
          <w:tcPr>
            <w:tcW w:w="2044" w:type="pct"/>
            <w:noWrap/>
            <w:vAlign w:val="center"/>
            <w:hideMark/>
          </w:tcPr>
          <w:p w14:paraId="06E8C513"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Construct</w:t>
            </w:r>
          </w:p>
        </w:tc>
        <w:tc>
          <w:tcPr>
            <w:tcW w:w="967" w:type="pct"/>
            <w:noWrap/>
            <w:vAlign w:val="center"/>
            <w:hideMark/>
          </w:tcPr>
          <w:p w14:paraId="2ADD11C4"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1</w:t>
            </w:r>
          </w:p>
        </w:tc>
        <w:tc>
          <w:tcPr>
            <w:tcW w:w="967" w:type="pct"/>
            <w:noWrap/>
            <w:vAlign w:val="center"/>
            <w:hideMark/>
          </w:tcPr>
          <w:p w14:paraId="7DFF57F4"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2</w:t>
            </w:r>
          </w:p>
        </w:tc>
        <w:tc>
          <w:tcPr>
            <w:tcW w:w="1023" w:type="pct"/>
            <w:noWrap/>
            <w:vAlign w:val="center"/>
            <w:hideMark/>
          </w:tcPr>
          <w:p w14:paraId="47DE1DFB" w14:textId="77777777" w:rsidR="00ED4759" w:rsidRPr="00816C6E" w:rsidRDefault="00D94758" w:rsidP="000C3CC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3</w:t>
            </w:r>
          </w:p>
        </w:tc>
      </w:tr>
      <w:tr w:rsidR="00931359" w14:paraId="3A2A7994" w14:textId="77777777" w:rsidTr="005B2097">
        <w:trPr>
          <w:trHeight w:val="397"/>
        </w:trPr>
        <w:tc>
          <w:tcPr>
            <w:tcW w:w="2044" w:type="pct"/>
            <w:noWrap/>
            <w:vAlign w:val="center"/>
            <w:hideMark/>
          </w:tcPr>
          <w:p w14:paraId="06EEAB71"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Brand Equity</w:t>
            </w:r>
          </w:p>
        </w:tc>
        <w:tc>
          <w:tcPr>
            <w:tcW w:w="967" w:type="pct"/>
            <w:shd w:val="clear" w:color="auto" w:fill="000000" w:themeFill="text1"/>
            <w:noWrap/>
            <w:vAlign w:val="center"/>
            <w:hideMark/>
          </w:tcPr>
          <w:p w14:paraId="0D33B518"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 </w:t>
            </w:r>
          </w:p>
        </w:tc>
        <w:tc>
          <w:tcPr>
            <w:tcW w:w="967" w:type="pct"/>
            <w:noWrap/>
            <w:vAlign w:val="center"/>
            <w:hideMark/>
          </w:tcPr>
          <w:p w14:paraId="13B6FF30"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 </w:t>
            </w:r>
          </w:p>
        </w:tc>
        <w:tc>
          <w:tcPr>
            <w:tcW w:w="1023" w:type="pct"/>
            <w:noWrap/>
            <w:vAlign w:val="center"/>
            <w:hideMark/>
          </w:tcPr>
          <w:p w14:paraId="6E688104"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 </w:t>
            </w:r>
          </w:p>
        </w:tc>
      </w:tr>
      <w:tr w:rsidR="00931359" w14:paraId="48D7EE7F" w14:textId="77777777" w:rsidTr="005B2097">
        <w:trPr>
          <w:trHeight w:val="397"/>
        </w:trPr>
        <w:tc>
          <w:tcPr>
            <w:tcW w:w="2044" w:type="pct"/>
            <w:noWrap/>
            <w:vAlign w:val="center"/>
            <w:hideMark/>
          </w:tcPr>
          <w:p w14:paraId="0A86F7D0"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Brand Experience</w:t>
            </w:r>
          </w:p>
        </w:tc>
        <w:tc>
          <w:tcPr>
            <w:tcW w:w="967" w:type="pct"/>
            <w:noWrap/>
            <w:vAlign w:val="center"/>
            <w:hideMark/>
          </w:tcPr>
          <w:p w14:paraId="76DDA041" w14:textId="77777777" w:rsidR="00ED4759" w:rsidRPr="00816C6E" w:rsidRDefault="00D94758" w:rsidP="005B209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0.924</w:t>
            </w:r>
          </w:p>
        </w:tc>
        <w:tc>
          <w:tcPr>
            <w:tcW w:w="967" w:type="pct"/>
            <w:shd w:val="clear" w:color="auto" w:fill="000000" w:themeFill="text1"/>
            <w:noWrap/>
            <w:vAlign w:val="center"/>
            <w:hideMark/>
          </w:tcPr>
          <w:p w14:paraId="2F59D892" w14:textId="77777777" w:rsidR="00ED4759" w:rsidRPr="00816C6E" w:rsidRDefault="00ED4759" w:rsidP="005B2097">
            <w:pPr>
              <w:spacing w:after="0" w:line="240" w:lineRule="auto"/>
              <w:jc w:val="center"/>
              <w:rPr>
                <w:rFonts w:ascii="Times New Roman" w:eastAsia="Times New Roman" w:hAnsi="Times New Roman" w:cs="Times New Roman"/>
                <w:color w:val="000000" w:themeColor="text1"/>
                <w:sz w:val="24"/>
                <w:szCs w:val="24"/>
              </w:rPr>
            </w:pPr>
          </w:p>
        </w:tc>
        <w:tc>
          <w:tcPr>
            <w:tcW w:w="1023" w:type="pct"/>
            <w:noWrap/>
            <w:vAlign w:val="center"/>
            <w:hideMark/>
          </w:tcPr>
          <w:p w14:paraId="24D635BA" w14:textId="77777777" w:rsidR="00ED4759" w:rsidRPr="00816C6E" w:rsidRDefault="00ED4759" w:rsidP="005B2097">
            <w:pPr>
              <w:spacing w:after="0" w:line="240" w:lineRule="auto"/>
              <w:rPr>
                <w:rFonts w:ascii="Times New Roman" w:eastAsia="Times New Roman" w:hAnsi="Times New Roman" w:cs="Times New Roman"/>
                <w:color w:val="000000" w:themeColor="text1"/>
                <w:sz w:val="24"/>
                <w:szCs w:val="24"/>
              </w:rPr>
            </w:pPr>
          </w:p>
        </w:tc>
      </w:tr>
      <w:tr w:rsidR="00931359" w14:paraId="4E0E5616" w14:textId="77777777" w:rsidTr="005B2097">
        <w:trPr>
          <w:trHeight w:val="397"/>
        </w:trPr>
        <w:tc>
          <w:tcPr>
            <w:tcW w:w="2044" w:type="pct"/>
            <w:noWrap/>
            <w:vAlign w:val="center"/>
            <w:hideMark/>
          </w:tcPr>
          <w:p w14:paraId="1EE55462" w14:textId="77777777" w:rsidR="00ED4759" w:rsidRPr="00816C6E" w:rsidRDefault="00D94758" w:rsidP="000C3CC7">
            <w:pPr>
              <w:spacing w:after="0" w:line="240" w:lineRule="auto"/>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Brand Engagement</w:t>
            </w:r>
          </w:p>
        </w:tc>
        <w:tc>
          <w:tcPr>
            <w:tcW w:w="967" w:type="pct"/>
            <w:noWrap/>
            <w:vAlign w:val="center"/>
            <w:hideMark/>
          </w:tcPr>
          <w:p w14:paraId="5EE2E9B3" w14:textId="77777777" w:rsidR="00ED4759" w:rsidRPr="00816C6E" w:rsidRDefault="00D94758" w:rsidP="005B209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0.917</w:t>
            </w:r>
          </w:p>
        </w:tc>
        <w:tc>
          <w:tcPr>
            <w:tcW w:w="967" w:type="pct"/>
            <w:noWrap/>
            <w:vAlign w:val="center"/>
            <w:hideMark/>
          </w:tcPr>
          <w:p w14:paraId="422C5769" w14:textId="77777777" w:rsidR="00ED4759" w:rsidRPr="00816C6E" w:rsidRDefault="00D94758" w:rsidP="005B2097">
            <w:pPr>
              <w:spacing w:after="0" w:line="240" w:lineRule="auto"/>
              <w:jc w:val="center"/>
              <w:rPr>
                <w:rFonts w:ascii="Times New Roman" w:eastAsia="Times New Roman" w:hAnsi="Times New Roman" w:cs="Times New Roman"/>
                <w:color w:val="000000" w:themeColor="text1"/>
                <w:sz w:val="24"/>
                <w:szCs w:val="24"/>
              </w:rPr>
            </w:pPr>
            <w:r w:rsidRPr="00816C6E">
              <w:rPr>
                <w:rFonts w:ascii="Times New Roman" w:eastAsia="Times New Roman" w:hAnsi="Times New Roman" w:cs="Times New Roman"/>
                <w:color w:val="000000" w:themeColor="text1"/>
                <w:sz w:val="24"/>
                <w:szCs w:val="24"/>
              </w:rPr>
              <w:t>0.832</w:t>
            </w:r>
          </w:p>
        </w:tc>
        <w:tc>
          <w:tcPr>
            <w:tcW w:w="1023" w:type="pct"/>
            <w:shd w:val="clear" w:color="auto" w:fill="000000" w:themeFill="text1"/>
            <w:noWrap/>
            <w:vAlign w:val="center"/>
            <w:hideMark/>
          </w:tcPr>
          <w:p w14:paraId="3A2239C0" w14:textId="77777777" w:rsidR="00ED4759" w:rsidRPr="00816C6E" w:rsidRDefault="00ED4759" w:rsidP="005B2097">
            <w:pPr>
              <w:spacing w:after="0" w:line="240" w:lineRule="auto"/>
              <w:rPr>
                <w:rFonts w:ascii="Times New Roman" w:eastAsia="Times New Roman" w:hAnsi="Times New Roman" w:cs="Times New Roman"/>
                <w:color w:val="000000" w:themeColor="text1"/>
                <w:sz w:val="24"/>
                <w:szCs w:val="24"/>
              </w:rPr>
            </w:pPr>
          </w:p>
        </w:tc>
      </w:tr>
    </w:tbl>
    <w:p w14:paraId="170973F2" w14:textId="495E0819" w:rsidR="00ED4759" w:rsidRPr="00816C6E" w:rsidRDefault="00D94758" w:rsidP="00ED4759">
      <w:pPr>
        <w:spacing w:after="0" w:line="240" w:lineRule="auto"/>
        <w:jc w:val="both"/>
        <w:rPr>
          <w:rFonts w:ascii="Times New Roman" w:hAnsi="Times New Roman" w:cs="Times New Roman"/>
          <w:color w:val="000000" w:themeColor="text1"/>
          <w:sz w:val="24"/>
          <w:szCs w:val="24"/>
        </w:rPr>
      </w:pPr>
      <w:r w:rsidRPr="005B2097">
        <w:rPr>
          <w:rFonts w:ascii="Times New Roman" w:hAnsi="Times New Roman" w:cs="Times New Roman"/>
          <w:i/>
          <w:iCs/>
          <w:color w:val="000000" w:themeColor="text1"/>
          <w:sz w:val="24"/>
          <w:szCs w:val="24"/>
        </w:rPr>
        <w:t>Source</w:t>
      </w:r>
      <w:r w:rsidR="005B2097" w:rsidRPr="005B2097">
        <w:rPr>
          <w:rFonts w:ascii="Times New Roman" w:hAnsi="Times New Roman" w:cs="Times New Roman"/>
          <w:i/>
          <w:iCs/>
          <w:color w:val="000000" w:themeColor="text1"/>
          <w:sz w:val="24"/>
          <w:szCs w:val="24"/>
        </w:rPr>
        <w:t>.</w:t>
      </w:r>
      <w:r w:rsidR="005B2097" w:rsidRPr="00816C6E">
        <w:rPr>
          <w:rFonts w:ascii="Times New Roman" w:hAnsi="Times New Roman" w:cs="Times New Roman"/>
          <w:color w:val="000000" w:themeColor="text1"/>
          <w:sz w:val="24"/>
          <w:szCs w:val="24"/>
        </w:rPr>
        <w:t xml:space="preserve"> </w:t>
      </w:r>
      <w:r w:rsidRPr="00816C6E">
        <w:rPr>
          <w:rFonts w:ascii="Times New Roman" w:hAnsi="Times New Roman" w:cs="Times New Roman"/>
          <w:color w:val="000000" w:themeColor="text1"/>
          <w:sz w:val="24"/>
          <w:szCs w:val="24"/>
        </w:rPr>
        <w:t>Author’s Work</w:t>
      </w:r>
    </w:p>
    <w:p w14:paraId="60B1B83E" w14:textId="77777777" w:rsidR="00ED4759" w:rsidRPr="00816C6E" w:rsidRDefault="00ED4759" w:rsidP="00ED4759">
      <w:pPr>
        <w:spacing w:after="0" w:line="360" w:lineRule="exact"/>
        <w:ind w:firstLine="567"/>
        <w:jc w:val="both"/>
        <w:rPr>
          <w:rFonts w:ascii="Times New Roman" w:hAnsi="Times New Roman" w:cs="Times New Roman"/>
          <w:sz w:val="26"/>
          <w:szCs w:val="26"/>
        </w:rPr>
      </w:pPr>
    </w:p>
    <w:p w14:paraId="1CF61E9B" w14:textId="77777777" w:rsidR="00ED4759" w:rsidRPr="00816C6E" w:rsidRDefault="00D94758" w:rsidP="00ED4759">
      <w:pPr>
        <w:spacing w:after="0" w:line="360" w:lineRule="exact"/>
        <w:ind w:firstLine="567"/>
        <w:jc w:val="both"/>
        <w:rPr>
          <w:rFonts w:ascii="Times New Roman" w:hAnsi="Times New Roman" w:cs="Times New Roman"/>
          <w:b/>
          <w:bCs/>
          <w:color w:val="000000"/>
          <w:sz w:val="24"/>
          <w:szCs w:val="24"/>
        </w:rPr>
      </w:pPr>
      <w:r w:rsidRPr="005E694C">
        <w:rPr>
          <w:rFonts w:ascii="Times New Roman" w:hAnsi="Times New Roman" w:cs="Times New Roman"/>
          <w:color w:val="000000"/>
          <w:sz w:val="26"/>
          <w:szCs w:val="26"/>
        </w:rPr>
        <w:t xml:space="preserve">Discriminant validity was initially assessed using the </w:t>
      </w:r>
      <w:proofErr w:type="spellStart"/>
      <w:r w:rsidRPr="005E694C">
        <w:rPr>
          <w:rFonts w:ascii="Times New Roman" w:hAnsi="Times New Roman" w:cs="Times New Roman"/>
          <w:color w:val="000000"/>
          <w:sz w:val="26"/>
          <w:szCs w:val="26"/>
        </w:rPr>
        <w:t>Fornell</w:t>
      </w:r>
      <w:proofErr w:type="spellEnd"/>
      <w:r w:rsidRPr="005E694C">
        <w:rPr>
          <w:rFonts w:ascii="Times New Roman" w:hAnsi="Times New Roman" w:cs="Times New Roman"/>
          <w:color w:val="000000"/>
          <w:sz w:val="26"/>
          <w:szCs w:val="26"/>
        </w:rPr>
        <w:t>–</w:t>
      </w:r>
      <w:proofErr w:type="spellStart"/>
      <w:r w:rsidRPr="005E694C">
        <w:rPr>
          <w:rFonts w:ascii="Times New Roman" w:hAnsi="Times New Roman" w:cs="Times New Roman"/>
          <w:color w:val="000000"/>
          <w:sz w:val="26"/>
          <w:szCs w:val="26"/>
        </w:rPr>
        <w:t>Larcker</w:t>
      </w:r>
      <w:proofErr w:type="spellEnd"/>
      <w:r w:rsidRPr="005E694C">
        <w:rPr>
          <w:rFonts w:ascii="Times New Roman" w:hAnsi="Times New Roman" w:cs="Times New Roman"/>
          <w:color w:val="000000"/>
          <w:sz w:val="26"/>
          <w:szCs w:val="26"/>
        </w:rPr>
        <w:t xml:space="preserve"> criterion and cross-loadings. The </w:t>
      </w:r>
      <w:proofErr w:type="spellStart"/>
      <w:r w:rsidRPr="005E694C">
        <w:rPr>
          <w:rFonts w:ascii="Times New Roman" w:hAnsi="Times New Roman" w:cs="Times New Roman"/>
          <w:color w:val="000000"/>
          <w:sz w:val="26"/>
          <w:szCs w:val="26"/>
        </w:rPr>
        <w:t>Fornell</w:t>
      </w:r>
      <w:proofErr w:type="spellEnd"/>
      <w:r w:rsidRPr="005E694C">
        <w:rPr>
          <w:rFonts w:ascii="Times New Roman" w:hAnsi="Times New Roman" w:cs="Times New Roman"/>
          <w:color w:val="000000"/>
          <w:sz w:val="26"/>
          <w:szCs w:val="26"/>
        </w:rPr>
        <w:t>–</w:t>
      </w:r>
      <w:proofErr w:type="spellStart"/>
      <w:r w:rsidRPr="005E694C">
        <w:rPr>
          <w:rFonts w:ascii="Times New Roman" w:hAnsi="Times New Roman" w:cs="Times New Roman"/>
          <w:color w:val="000000"/>
          <w:sz w:val="26"/>
          <w:szCs w:val="26"/>
        </w:rPr>
        <w:t>Larcker</w:t>
      </w:r>
      <w:proofErr w:type="spellEnd"/>
      <w:r w:rsidRPr="005E694C">
        <w:rPr>
          <w:rFonts w:ascii="Times New Roman" w:hAnsi="Times New Roman" w:cs="Times New Roman"/>
          <w:color w:val="000000"/>
          <w:sz w:val="26"/>
          <w:szCs w:val="26"/>
        </w:rPr>
        <w:t xml:space="preserve"> criterion requires the square root of the AVE for each construct to exceed its correlations with other constructs. As presented in Table 2, the square root of the AVE for Brand Equity was lower than its correlation with another latent variable, indicating a potential lack of discriminant validity based on the </w:t>
      </w:r>
      <w:proofErr w:type="spellStart"/>
      <w:r w:rsidRPr="005E694C">
        <w:rPr>
          <w:rFonts w:ascii="Times New Roman" w:hAnsi="Times New Roman" w:cs="Times New Roman"/>
          <w:color w:val="000000"/>
          <w:sz w:val="26"/>
          <w:szCs w:val="26"/>
        </w:rPr>
        <w:t>Fornell</w:t>
      </w:r>
      <w:proofErr w:type="spellEnd"/>
      <w:r w:rsidRPr="005E694C">
        <w:rPr>
          <w:rFonts w:ascii="Times New Roman" w:hAnsi="Times New Roman" w:cs="Times New Roman"/>
          <w:color w:val="000000"/>
          <w:sz w:val="26"/>
          <w:szCs w:val="26"/>
        </w:rPr>
        <w:t>–</w:t>
      </w:r>
      <w:proofErr w:type="spellStart"/>
      <w:r w:rsidRPr="005E694C">
        <w:rPr>
          <w:rFonts w:ascii="Times New Roman" w:hAnsi="Times New Roman" w:cs="Times New Roman"/>
          <w:color w:val="000000"/>
          <w:sz w:val="26"/>
          <w:szCs w:val="26"/>
        </w:rPr>
        <w:t>Larcker</w:t>
      </w:r>
      <w:proofErr w:type="spellEnd"/>
      <w:r w:rsidRPr="005E694C">
        <w:rPr>
          <w:rFonts w:ascii="Times New Roman" w:hAnsi="Times New Roman" w:cs="Times New Roman"/>
          <w:color w:val="000000"/>
          <w:sz w:val="26"/>
          <w:szCs w:val="26"/>
        </w:rPr>
        <w:t xml:space="preserve"> criterion.</w:t>
      </w:r>
    </w:p>
    <w:p w14:paraId="2900F25B" w14:textId="77777777" w:rsidR="00ED4759" w:rsidRPr="005E694C" w:rsidRDefault="00D94758" w:rsidP="00ED4759">
      <w:pPr>
        <w:spacing w:after="0" w:line="360" w:lineRule="exact"/>
        <w:ind w:firstLine="567"/>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 xml:space="preserve">However, the </w:t>
      </w:r>
      <w:proofErr w:type="spellStart"/>
      <w:r w:rsidRPr="005E694C">
        <w:rPr>
          <w:rFonts w:ascii="Times New Roman" w:hAnsi="Times New Roman" w:cs="Times New Roman"/>
          <w:color w:val="000000"/>
          <w:sz w:val="26"/>
          <w:szCs w:val="26"/>
        </w:rPr>
        <w:t>Fornell</w:t>
      </w:r>
      <w:proofErr w:type="spellEnd"/>
      <w:r w:rsidRPr="005E694C">
        <w:rPr>
          <w:rFonts w:ascii="Times New Roman" w:hAnsi="Times New Roman" w:cs="Times New Roman"/>
          <w:color w:val="000000"/>
          <w:sz w:val="26"/>
          <w:szCs w:val="26"/>
        </w:rPr>
        <w:t>–</w:t>
      </w:r>
      <w:proofErr w:type="spellStart"/>
      <w:r w:rsidRPr="005E694C">
        <w:rPr>
          <w:rFonts w:ascii="Times New Roman" w:hAnsi="Times New Roman" w:cs="Times New Roman"/>
          <w:color w:val="000000"/>
          <w:sz w:val="26"/>
          <w:szCs w:val="26"/>
        </w:rPr>
        <w:t>Larcker</w:t>
      </w:r>
      <w:proofErr w:type="spellEnd"/>
      <w:r w:rsidRPr="005E694C">
        <w:rPr>
          <w:rFonts w:ascii="Times New Roman" w:hAnsi="Times New Roman" w:cs="Times New Roman"/>
          <w:color w:val="000000"/>
          <w:sz w:val="26"/>
          <w:szCs w:val="26"/>
        </w:rPr>
        <w:t xml:space="preserve"> criterion has been criticized for its limited sensitivity in detecting discriminant validity problems, particularly when constructs are conceptually and empirically related. Therefore, following the recommendation of </w:t>
      </w:r>
      <w:proofErr w:type="spellStart"/>
      <w:r w:rsidRPr="005E694C">
        <w:rPr>
          <w:rFonts w:ascii="Times New Roman" w:hAnsi="Times New Roman" w:cs="Times New Roman"/>
          <w:color w:val="000000"/>
          <w:sz w:val="26"/>
          <w:szCs w:val="26"/>
        </w:rPr>
        <w:t>Henseler</w:t>
      </w:r>
      <w:proofErr w:type="spellEnd"/>
      <w:r w:rsidRPr="005E694C">
        <w:rPr>
          <w:rFonts w:ascii="Times New Roman" w:hAnsi="Times New Roman" w:cs="Times New Roman"/>
          <w:color w:val="000000"/>
          <w:sz w:val="26"/>
          <w:szCs w:val="26"/>
        </w:rPr>
        <w:t xml:space="preserve"> et al. (2015), the </w:t>
      </w:r>
      <w:proofErr w:type="spellStart"/>
      <w:r w:rsidRPr="005E694C">
        <w:rPr>
          <w:rFonts w:ascii="Times New Roman" w:hAnsi="Times New Roman" w:cs="Times New Roman"/>
          <w:color w:val="000000"/>
          <w:sz w:val="26"/>
          <w:szCs w:val="26"/>
        </w:rPr>
        <w:t>Heterotrait</w:t>
      </w:r>
      <w:proofErr w:type="spellEnd"/>
      <w:r w:rsidRPr="005E694C">
        <w:rPr>
          <w:rFonts w:ascii="Times New Roman" w:hAnsi="Times New Roman" w:cs="Times New Roman"/>
          <w:color w:val="000000"/>
          <w:sz w:val="26"/>
          <w:szCs w:val="26"/>
        </w:rPr>
        <w:t>–</w:t>
      </w:r>
      <w:proofErr w:type="spellStart"/>
      <w:r w:rsidRPr="005E694C">
        <w:rPr>
          <w:rFonts w:ascii="Times New Roman" w:hAnsi="Times New Roman" w:cs="Times New Roman"/>
          <w:color w:val="000000"/>
          <w:sz w:val="26"/>
          <w:szCs w:val="26"/>
        </w:rPr>
        <w:t>Monotrait</w:t>
      </w:r>
      <w:proofErr w:type="spellEnd"/>
      <w:r w:rsidRPr="005E694C">
        <w:rPr>
          <w:rFonts w:ascii="Times New Roman" w:hAnsi="Times New Roman" w:cs="Times New Roman"/>
          <w:color w:val="000000"/>
          <w:sz w:val="26"/>
          <w:szCs w:val="26"/>
        </w:rPr>
        <w:t xml:space="preserve"> ratio (HTMT) was employed as the primary criterion for further assessment of discriminant validity. HTMT has been shown to provide greater sensitivity in detecting a lack of discriminant validity than the </w:t>
      </w:r>
      <w:proofErr w:type="spellStart"/>
      <w:r w:rsidRPr="005E694C">
        <w:rPr>
          <w:rFonts w:ascii="Times New Roman" w:hAnsi="Times New Roman" w:cs="Times New Roman"/>
          <w:color w:val="000000"/>
          <w:sz w:val="26"/>
          <w:szCs w:val="26"/>
        </w:rPr>
        <w:t>Fornell</w:t>
      </w:r>
      <w:proofErr w:type="spellEnd"/>
      <w:r w:rsidRPr="005E694C">
        <w:rPr>
          <w:rFonts w:ascii="Times New Roman" w:hAnsi="Times New Roman" w:cs="Times New Roman"/>
          <w:color w:val="000000"/>
          <w:sz w:val="26"/>
          <w:szCs w:val="26"/>
        </w:rPr>
        <w:t>–</w:t>
      </w:r>
      <w:proofErr w:type="spellStart"/>
      <w:r w:rsidRPr="005E694C">
        <w:rPr>
          <w:rFonts w:ascii="Times New Roman" w:hAnsi="Times New Roman" w:cs="Times New Roman"/>
          <w:color w:val="000000"/>
          <w:sz w:val="26"/>
          <w:szCs w:val="26"/>
        </w:rPr>
        <w:t>Larcker</w:t>
      </w:r>
      <w:proofErr w:type="spellEnd"/>
      <w:r w:rsidRPr="005E694C">
        <w:rPr>
          <w:rFonts w:ascii="Times New Roman" w:hAnsi="Times New Roman" w:cs="Times New Roman"/>
          <w:color w:val="000000"/>
          <w:sz w:val="26"/>
          <w:szCs w:val="26"/>
        </w:rPr>
        <w:t xml:space="preserve"> criterion and cross-loadings. The HTMT values for all pairs of constructs in this study were below the recommended threshold, indicating that the constructs demonstrated adequate discriminant validity (Table 3).</w:t>
      </w:r>
    </w:p>
    <w:p w14:paraId="245E62EE" w14:textId="77777777" w:rsidR="00ED4759" w:rsidRPr="005E694C" w:rsidRDefault="00D94758" w:rsidP="00ED4759">
      <w:pPr>
        <w:spacing w:after="0" w:line="360" w:lineRule="exact"/>
        <w:ind w:firstLine="567"/>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The HTMT results provide mixed evidence regarding discriminant validity. The HTMT ratio between brand experience and brand engagement was 0.832, which remained below the 0.90 threshold, supporting their empirical distinctiveness. However, the HTMT ratios involving brand equity exceeded 0.90, indicating potential empirical overlap. The study recognizes these results as a measurement-model concern and further considers the constructs' conceptual and empirical distinctiveness.</w:t>
      </w:r>
    </w:p>
    <w:p w14:paraId="5405FE14" w14:textId="77777777" w:rsidR="00ED4759" w:rsidRPr="005E694C" w:rsidRDefault="00D94758" w:rsidP="00ED4759">
      <w:pPr>
        <w:spacing w:after="0" w:line="360" w:lineRule="exact"/>
        <w:ind w:firstLine="567"/>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From a conceptual perspective, the three constructs capture related but distinct dimensions of the consumer–brand relationship. Brand experience refers to consumers' experiential responses arising from interactions with or exposure to a brand, encompassing sensory, affective, behavioral, and intellectual responses. Brand engagement reflects the extent of consumers' cognitive, emotional, and behavioral involvement with the brand, particularly through their active attention and participation. Brand equity, in turn, represents consumers' overall evaluation of the brand's value and strength. The relatively high HTMT values involving brand equity may therefore reflect the expected conceptual relatedness among these constructs. At the same time, their distinct definitions and measurement domains provide a basis for examining them as separate constructs within the proposed model.</w:t>
      </w:r>
    </w:p>
    <w:p w14:paraId="04F13942" w14:textId="77777777" w:rsidR="0057675D"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5E694C">
        <w:rPr>
          <w:rFonts w:ascii="Times New Roman" w:hAnsi="Times New Roman" w:cs="Times New Roman"/>
          <w:color w:val="000000"/>
          <w:sz w:val="26"/>
          <w:szCs w:val="26"/>
        </w:rPr>
        <w:t xml:space="preserve">In addition, the cross-loading results showed that each measurement item loaded more strongly on its respective construct than on the other latent variables, providing further supporting evidence of discriminant validity. Taken together, although the </w:t>
      </w:r>
      <w:proofErr w:type="spellStart"/>
      <w:r w:rsidRPr="005E694C">
        <w:rPr>
          <w:rFonts w:ascii="Times New Roman" w:hAnsi="Times New Roman" w:cs="Times New Roman"/>
          <w:color w:val="000000"/>
          <w:sz w:val="26"/>
          <w:szCs w:val="26"/>
        </w:rPr>
        <w:t>Fornell</w:t>
      </w:r>
      <w:proofErr w:type="spellEnd"/>
      <w:r w:rsidRPr="005E694C">
        <w:rPr>
          <w:rFonts w:ascii="Times New Roman" w:hAnsi="Times New Roman" w:cs="Times New Roman"/>
          <w:color w:val="000000"/>
          <w:sz w:val="26"/>
          <w:szCs w:val="26"/>
        </w:rPr>
        <w:t>–</w:t>
      </w:r>
      <w:proofErr w:type="spellStart"/>
      <w:r w:rsidRPr="005E694C">
        <w:rPr>
          <w:rFonts w:ascii="Times New Roman" w:hAnsi="Times New Roman" w:cs="Times New Roman"/>
          <w:color w:val="000000"/>
          <w:sz w:val="26"/>
          <w:szCs w:val="26"/>
        </w:rPr>
        <w:t>Larcker</w:t>
      </w:r>
      <w:proofErr w:type="spellEnd"/>
      <w:r w:rsidRPr="005E694C">
        <w:rPr>
          <w:rFonts w:ascii="Times New Roman" w:hAnsi="Times New Roman" w:cs="Times New Roman"/>
          <w:color w:val="000000"/>
          <w:sz w:val="26"/>
          <w:szCs w:val="26"/>
        </w:rPr>
        <w:t xml:space="preserve"> criterion indicated a potential discriminant validity issue for brand equity, the HTMT results provided stronger and more reliable evidence that discriminant validity was adequately established in the measurement model</w:t>
      </w:r>
      <w:r w:rsidRPr="00816C6E">
        <w:rPr>
          <w:rFonts w:ascii="Times New Roman" w:hAnsi="Times New Roman" w:cs="Times New Roman"/>
          <w:color w:val="000000" w:themeColor="text1"/>
          <w:sz w:val="26"/>
          <w:szCs w:val="26"/>
          <w:lang w:bidi="fa-IR"/>
        </w:rPr>
        <w:t>.</w:t>
      </w:r>
    </w:p>
    <w:p w14:paraId="352E5359" w14:textId="77777777" w:rsidR="00ED4759" w:rsidRPr="00816C6E" w:rsidRDefault="00D94758" w:rsidP="00ED4759">
      <w:pPr>
        <w:spacing w:after="0" w:line="360" w:lineRule="exact"/>
        <w:jc w:val="center"/>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RESULTS</w:t>
      </w:r>
    </w:p>
    <w:p w14:paraId="4D4043EA" w14:textId="77777777" w:rsidR="00ED4759" w:rsidRPr="00816C6E" w:rsidRDefault="00D94758" w:rsidP="00ED4759">
      <w:pPr>
        <w:spacing w:after="0" w:line="360" w:lineRule="exact"/>
        <w:jc w:val="both"/>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 xml:space="preserve">Demographic and Descriptive Statistics </w:t>
      </w:r>
    </w:p>
    <w:p w14:paraId="357A45E5"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Overall, this research was supported by 262 respondents, who served as the basis for data processing. The respondents in this study were 50.7% male and 49% female. About 20.3% of respondents were between 18 and 24, 38.9% were between 25 and 29, 16.4% were between 30 and 39, and 24.4% were over 40. As for respondents' occupations, 22% are homemakers; 34.3% are private employees; 9.1% are government employees; 4.1% are still in high school or university; 17% are entrepreneurs; and 13.3% are in unspecified fields. In data processing, we used two testing stages to test the research model: an outer model using confirmatory factor analysis to assess the validity and reliability of the latent variables. The inner model test uses R</w:t>
      </w:r>
      <w:r w:rsidRPr="00816C6E">
        <w:rPr>
          <w:rFonts w:ascii="Times New Roman" w:hAnsi="Times New Roman" w:cs="Times New Roman"/>
          <w:color w:val="000000"/>
          <w:sz w:val="26"/>
          <w:szCs w:val="26"/>
          <w:vertAlign w:val="superscript"/>
        </w:rPr>
        <w:t>2</w:t>
      </w:r>
      <w:r w:rsidRPr="00816C6E">
        <w:rPr>
          <w:rFonts w:ascii="Times New Roman" w:hAnsi="Times New Roman" w:cs="Times New Roman"/>
          <w:color w:val="000000"/>
          <w:sz w:val="26"/>
          <w:szCs w:val="26"/>
        </w:rPr>
        <w:t xml:space="preserve"> and path coefficients to evaluate the relationships among variables.</w:t>
      </w:r>
    </w:p>
    <w:p w14:paraId="2ED82C86" w14:textId="77777777" w:rsidR="00ED4759" w:rsidRPr="00816C6E" w:rsidRDefault="00ED4759" w:rsidP="00ED4759">
      <w:pPr>
        <w:spacing w:line="360" w:lineRule="exact"/>
        <w:jc w:val="both"/>
        <w:rPr>
          <w:rFonts w:ascii="Times New Roman" w:hAnsi="Times New Roman" w:cs="Times New Roman"/>
          <w:color w:val="000000"/>
          <w:sz w:val="26"/>
          <w:szCs w:val="26"/>
        </w:rPr>
      </w:pPr>
    </w:p>
    <w:p w14:paraId="3630CB59" w14:textId="77777777" w:rsidR="00ED4759" w:rsidRPr="00816C6E" w:rsidRDefault="00D94758" w:rsidP="00ED4759">
      <w:pPr>
        <w:spacing w:after="0" w:line="360" w:lineRule="exact"/>
        <w:jc w:val="both"/>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 xml:space="preserve">Results for Hypothesis Testing </w:t>
      </w:r>
    </w:p>
    <w:p w14:paraId="08F5F7CB"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 xml:space="preserve">Partial Least Squares Structural Equation Modeling (PLS-SEM) is used in this study to analyze data and test structural research models without assuming normality. PLS-SEM was chosen because it integrates measurement analysis with structural models and is appropriate for research aimed at identifying a study's drivers (Hair et al., 2019). Given the complexity of this research model, which is designed to measure direct and mediating effects in line with the research objectives, the researcher believes PLS-SEM is appropriate for analyzing the data. To determine the significance level of the path coefficient, this study employs a bootstrapping algorithm with 5,000 re-samples from social media users. Figure 1 shows the results of the SEM-PLS analysis. </w:t>
      </w:r>
    </w:p>
    <w:p w14:paraId="5F2FCDC8" w14:textId="77777777" w:rsidR="005F594D" w:rsidRPr="007C5CC3" w:rsidRDefault="005F594D" w:rsidP="007C5CC3">
      <w:pPr>
        <w:snapToGrid w:val="0"/>
        <w:spacing w:after="0" w:line="300" w:lineRule="auto"/>
        <w:jc w:val="center"/>
        <w:rPr>
          <w:rFonts w:ascii="Times New Roman" w:hAnsi="Times New Roman"/>
          <w:b/>
          <w:color w:val="000000"/>
          <w:sz w:val="26"/>
        </w:rPr>
      </w:pPr>
    </w:p>
    <w:p w14:paraId="47F663D9" w14:textId="77777777" w:rsidR="005F594D" w:rsidRPr="00816C6E" w:rsidRDefault="00D94758" w:rsidP="007C5CC3">
      <w:pPr>
        <w:snapToGrid w:val="0"/>
        <w:spacing w:after="0" w:line="300" w:lineRule="auto"/>
        <w:rPr>
          <w:rFonts w:ascii="Times New Roman" w:hAnsi="Times New Roman" w:cs="Times New Roman"/>
          <w:color w:val="000000"/>
          <w:sz w:val="26"/>
          <w:szCs w:val="26"/>
        </w:rPr>
      </w:pPr>
      <w:r w:rsidRPr="00816C6E">
        <w:rPr>
          <w:rFonts w:ascii="Times New Roman" w:hAnsi="Times New Roman" w:cs="Times New Roman"/>
          <w:b/>
          <w:bCs/>
          <w:color w:val="000000"/>
          <w:sz w:val="26"/>
          <w:szCs w:val="26"/>
        </w:rPr>
        <w:t>Figure 1</w:t>
      </w:r>
      <w:r w:rsidRPr="00816C6E">
        <w:rPr>
          <w:rFonts w:ascii="Times New Roman" w:hAnsi="Times New Roman" w:cs="Times New Roman"/>
          <w:color w:val="000000"/>
          <w:sz w:val="26"/>
          <w:szCs w:val="26"/>
        </w:rPr>
        <w:t>. Structural Equation Model Output</w:t>
      </w:r>
    </w:p>
    <w:p w14:paraId="18360327" w14:textId="5C24AE3A" w:rsidR="005F594D" w:rsidRPr="00816C6E" w:rsidRDefault="001D563D" w:rsidP="005B2097">
      <w:pPr>
        <w:snapToGrid w:val="0"/>
        <w:spacing w:after="0" w:line="300" w:lineRule="auto"/>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g">
            <w:drawing>
              <wp:anchor distT="0" distB="0" distL="114300" distR="114300" simplePos="0" relativeHeight="251674624" behindDoc="0" locked="0" layoutInCell="1" allowOverlap="0" wp14:anchorId="040375D1" wp14:editId="5B6F0012">
                <wp:simplePos x="0" y="0"/>
                <wp:positionH relativeFrom="column">
                  <wp:align>center</wp:align>
                </wp:positionH>
                <wp:positionV relativeFrom="paragraph">
                  <wp:posOffset>180340</wp:posOffset>
                </wp:positionV>
                <wp:extent cx="5270400" cy="2228400"/>
                <wp:effectExtent l="0" t="0" r="26035" b="19685"/>
                <wp:wrapTopAndBottom/>
                <wp:docPr id="1" name="群組 1"/>
                <wp:cNvGraphicFramePr/>
                <a:graphic xmlns:a="http://schemas.openxmlformats.org/drawingml/2006/main">
                  <a:graphicData uri="http://schemas.microsoft.com/office/word/2010/wordprocessingGroup">
                    <wpg:wgp>
                      <wpg:cNvGrpSpPr/>
                      <wpg:grpSpPr>
                        <a:xfrm>
                          <a:off x="0" y="0"/>
                          <a:ext cx="5270400" cy="2228400"/>
                          <a:chOff x="0" y="0"/>
                          <a:chExt cx="5269971" cy="2227262"/>
                        </a:xfrm>
                      </wpg:grpSpPr>
                      <wps:wsp>
                        <wps:cNvPr id="1307498055" name="Oval 1"/>
                        <wps:cNvSpPr/>
                        <wps:spPr>
                          <a:xfrm>
                            <a:off x="0" y="1447800"/>
                            <a:ext cx="1423670" cy="762000"/>
                          </a:xfrm>
                          <a:prstGeom prst="ellipse">
                            <a:avLst/>
                          </a:prstGeom>
                        </wps:spPr>
                        <wps:style>
                          <a:lnRef idx="2">
                            <a:schemeClr val="dk1"/>
                          </a:lnRef>
                          <a:fillRef idx="1">
                            <a:schemeClr val="lt1"/>
                          </a:fillRef>
                          <a:effectRef idx="0">
                            <a:schemeClr val="dk1"/>
                          </a:effectRef>
                          <a:fontRef idx="minor">
                            <a:schemeClr val="dk1"/>
                          </a:fontRef>
                        </wps:style>
                        <wps:txbx>
                          <w:txbxContent>
                            <w:p w14:paraId="234E7DBC"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Brand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03271990" name="Oval 1"/>
                        <wps:cNvSpPr/>
                        <wps:spPr>
                          <a:xfrm>
                            <a:off x="1913467" y="0"/>
                            <a:ext cx="1584960" cy="707136"/>
                          </a:xfrm>
                          <a:prstGeom prst="ellipse">
                            <a:avLst/>
                          </a:prstGeom>
                        </wps:spPr>
                        <wps:style>
                          <a:lnRef idx="2">
                            <a:schemeClr val="dk1"/>
                          </a:lnRef>
                          <a:fillRef idx="1">
                            <a:schemeClr val="lt1"/>
                          </a:fillRef>
                          <a:effectRef idx="0">
                            <a:schemeClr val="dk1"/>
                          </a:effectRef>
                          <a:fontRef idx="minor">
                            <a:schemeClr val="dk1"/>
                          </a:fontRef>
                        </wps:style>
                        <wps:txbx>
                          <w:txbxContent>
                            <w:p w14:paraId="7A2E0E4A"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Brand 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59730338" name="Oval 1"/>
                        <wps:cNvSpPr/>
                        <wps:spPr>
                          <a:xfrm>
                            <a:off x="3865033" y="1422400"/>
                            <a:ext cx="1404938" cy="804862"/>
                          </a:xfrm>
                          <a:prstGeom prst="ellipse">
                            <a:avLst/>
                          </a:prstGeom>
                        </wps:spPr>
                        <wps:style>
                          <a:lnRef idx="2">
                            <a:schemeClr val="dk1"/>
                          </a:lnRef>
                          <a:fillRef idx="1">
                            <a:schemeClr val="lt1"/>
                          </a:fillRef>
                          <a:effectRef idx="0">
                            <a:schemeClr val="dk1"/>
                          </a:effectRef>
                          <a:fontRef idx="minor">
                            <a:schemeClr val="dk1"/>
                          </a:fontRef>
                        </wps:style>
                        <wps:txbx>
                          <w:txbxContent>
                            <w:p w14:paraId="654F4708"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Brand 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651518211" name="Straight Arrow Connector 2"/>
                        <wps:cNvCnPr/>
                        <wps:spPr>
                          <a:xfrm flipV="1">
                            <a:off x="821267" y="512233"/>
                            <a:ext cx="1076325" cy="7426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22684540" name="Straight Arrow Connector 3"/>
                        <wps:cNvCnPr/>
                        <wps:spPr>
                          <a:xfrm>
                            <a:off x="3500967" y="533400"/>
                            <a:ext cx="947738" cy="6997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79666787" name="Straight Arrow Connector 4"/>
                        <wps:cNvCnPr/>
                        <wps:spPr>
                          <a:xfrm>
                            <a:off x="1439333" y="1938866"/>
                            <a:ext cx="244316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7" name="Text Box 2"/>
                        <wps:cNvSpPr txBox="1">
                          <a:spLocks noChangeArrowheads="1"/>
                        </wps:cNvSpPr>
                        <wps:spPr bwMode="auto">
                          <a:xfrm>
                            <a:off x="2125133" y="1786466"/>
                            <a:ext cx="812165" cy="265430"/>
                          </a:xfrm>
                          <a:prstGeom prst="rect">
                            <a:avLst/>
                          </a:prstGeom>
                          <a:solidFill>
                            <a:srgbClr val="FFFFFF"/>
                          </a:solidFill>
                          <a:ln w="9525">
                            <a:noFill/>
                            <a:miter lim="800000"/>
                            <a:headEnd/>
                            <a:tailEnd/>
                          </a:ln>
                        </wps:spPr>
                        <wps:txbx>
                          <w:txbxContent>
                            <w:p w14:paraId="14C33D60"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0.591</w:t>
                              </w:r>
                              <w:r>
                                <w:rPr>
                                  <w:rFonts w:ascii="Times New Roman" w:hAnsi="Times New Roman" w:cs="Times New Roman"/>
                                </w:rPr>
                                <w:t>*</w:t>
                              </w:r>
                            </w:p>
                          </w:txbxContent>
                        </wps:txbx>
                        <wps:bodyPr rot="0" vert="horz" wrap="square" lIns="91440" tIns="45720" rIns="91440" bIns="45720" anchor="t" anchorCtr="0"/>
                      </wps:wsp>
                      <wps:wsp>
                        <wps:cNvPr id="25976827" name="Text Box 2"/>
                        <wps:cNvSpPr txBox="1">
                          <a:spLocks noChangeArrowheads="1"/>
                        </wps:cNvSpPr>
                        <wps:spPr bwMode="auto">
                          <a:xfrm>
                            <a:off x="1134533" y="812800"/>
                            <a:ext cx="571500" cy="266700"/>
                          </a:xfrm>
                          <a:prstGeom prst="rect">
                            <a:avLst/>
                          </a:prstGeom>
                          <a:solidFill>
                            <a:srgbClr val="FFFFFF"/>
                          </a:solidFill>
                          <a:ln w="9525">
                            <a:noFill/>
                            <a:miter lim="800000"/>
                            <a:headEnd/>
                            <a:tailEnd/>
                          </a:ln>
                        </wps:spPr>
                        <wps:txbx>
                          <w:txbxContent>
                            <w:p w14:paraId="6EBCC387"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0.</w:t>
                              </w:r>
                              <w:r>
                                <w:rPr>
                                  <w:rFonts w:ascii="Times New Roman" w:hAnsi="Times New Roman" w:cs="Times New Roman"/>
                                </w:rPr>
                                <w:t>754*</w:t>
                              </w:r>
                            </w:p>
                          </w:txbxContent>
                        </wps:txbx>
                        <wps:bodyPr rot="0" vert="horz" wrap="square" lIns="91440" tIns="45720" rIns="91440" bIns="45720" anchor="t" anchorCtr="0"/>
                      </wps:wsp>
                      <wps:wsp>
                        <wps:cNvPr id="1045531438" name="Text Box 2"/>
                        <wps:cNvSpPr txBox="1">
                          <a:spLocks noChangeArrowheads="1"/>
                        </wps:cNvSpPr>
                        <wps:spPr bwMode="auto">
                          <a:xfrm>
                            <a:off x="3729567" y="812800"/>
                            <a:ext cx="571500" cy="266700"/>
                          </a:xfrm>
                          <a:prstGeom prst="rect">
                            <a:avLst/>
                          </a:prstGeom>
                          <a:solidFill>
                            <a:srgbClr val="FFFFFF"/>
                          </a:solidFill>
                          <a:ln w="9525">
                            <a:noFill/>
                            <a:miter lim="800000"/>
                            <a:headEnd/>
                            <a:tailEnd/>
                          </a:ln>
                        </wps:spPr>
                        <wps:txbx>
                          <w:txbxContent>
                            <w:p w14:paraId="2D2E4E0E"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0.</w:t>
                              </w:r>
                              <w:r>
                                <w:rPr>
                                  <w:rFonts w:ascii="Times New Roman" w:hAnsi="Times New Roman" w:cs="Times New Roman"/>
                                </w:rPr>
                                <w:t>392*</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40375D1" id="群組 1" o:spid="_x0000_s1026" style="position:absolute;margin-left:0;margin-top:14.2pt;width:415pt;height:175.45pt;z-index:251674624;mso-position-horizontal:center;mso-width-relative:margin;mso-height-relative:margin" coordsize="52699,2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" o:allowoverlap="f">
                <v:oval id="Oval 1" o:spid="_x0000_s1027" style="position:absolute;top:14478;width:1423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" fillcolor="white [3201]" strokecolor="black [3200]" strokeweight="2pt">
                  <v:textbox>
                    <w:txbxContent>
                      <w:p w14:paraId="234E7DBC"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Brand Experience</w:t>
                        </w:r>
                      </w:p>
                    </w:txbxContent>
                  </v:textbox>
                </v:oval>
                <v:oval id="Oval 1" o:spid="_x0000_s1028" style="position:absolute;left:19134;width:15850;height:7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" fillcolor="white [3201]" strokecolor="black [3200]" strokeweight="2pt">
                  <v:textbox>
                    <w:txbxContent>
                      <w:p w14:paraId="7A2E0E4A"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Brand Engagement</w:t>
                        </w:r>
                      </w:p>
                    </w:txbxContent>
                  </v:textbox>
                </v:oval>
                <v:oval id="Oval 1" o:spid="_x0000_s1029" style="position:absolute;left:38650;top:14224;width:14049;height:8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" fillcolor="white [3201]" strokecolor="black [3200]" strokeweight="2pt">
                  <v:textbox>
                    <w:txbxContent>
                      <w:p w14:paraId="654F4708"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Brand Equity</w:t>
                        </w:r>
                      </w:p>
                    </w:txbxContent>
                  </v:textbox>
                </v:oval>
                <v:shapetype id="_x0000_t32" coordsize="21600,21600" o:spt="32" o:oned="t" path="m,l21600,21600e" filled="f">
                  <v:path arrowok="t" fillok="f" o:connecttype="none"/>
                  <o:lock v:ext="edit" shapetype="t"/>
                </v:shapetype>
                <v:shape id="Straight Arrow Connector 2" o:spid="_x0000_s1030" type="#_x0000_t32" style="position:absolute;left:8212;top:5122;width:10763;height:74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" strokecolor="black [3040]">
                  <v:stroke endarrow="block"/>
                </v:shape>
                <v:shape id="Straight Arrow Connector 3" o:spid="_x0000_s1031" type="#_x0000_t32" style="position:absolute;left:35009;top:5334;width:9478;height:6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" strokecolor="black [3040]">
                  <v:stroke endarrow="block"/>
                </v:shape>
                <v:shape id="Straight Arrow Connector 4" o:spid="_x0000_s1032" type="#_x0000_t32" style="position:absolute;left:14393;top:19388;width:244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" strokecolor="black [3040]">
                  <v:stroke endarrow="block"/>
                </v:shape>
                <v:shapetype id="_x0000_t202" coordsize="21600,21600" o:spt="202" path="m,l,21600r21600,l21600,xe">
                  <v:stroke joinstyle="miter"/>
                  <v:path gradientshapeok="t" o:connecttype="rect"/>
                </v:shapetype>
                <v:shape id="Text Box 2" o:spid="_x0000_s1033" type="#_x0000_t202" style="position:absolute;left:21251;top:17864;width:8121;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4C33D60"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0.591</w:t>
                        </w:r>
                        <w:r>
                          <w:rPr>
                            <w:rFonts w:ascii="Times New Roman" w:hAnsi="Times New Roman" w:cs="Times New Roman"/>
                          </w:rPr>
                          <w:t>*</w:t>
                        </w:r>
                      </w:p>
                    </w:txbxContent>
                  </v:textbox>
                </v:shape>
                <v:shape id="Text Box 2" o:spid="_x0000_s1034" type="#_x0000_t202" style="position:absolute;left:11345;top:8128;width:57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" stroked="f">
                  <v:textbox>
                    <w:txbxContent>
                      <w:p w14:paraId="6EBCC387"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0.</w:t>
                        </w:r>
                        <w:r>
                          <w:rPr>
                            <w:rFonts w:ascii="Times New Roman" w:hAnsi="Times New Roman" w:cs="Times New Roman"/>
                          </w:rPr>
                          <w:t>754*</w:t>
                        </w:r>
                      </w:p>
                    </w:txbxContent>
                  </v:textbox>
                </v:shape>
                <v:shape id="Text Box 2" o:spid="_x0000_s1035" type="#_x0000_t202" style="position:absolute;left:37295;top:8128;width:57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" stroked="f">
                  <v:textbox>
                    <w:txbxContent>
                      <w:p w14:paraId="2D2E4E0E" w14:textId="77777777" w:rsidR="00ED4759" w:rsidRPr="00DA419A" w:rsidRDefault="00D94758" w:rsidP="00ED4759">
                        <w:pPr>
                          <w:jc w:val="center"/>
                          <w:rPr>
                            <w:rFonts w:ascii="Times New Roman" w:hAnsi="Times New Roman" w:cs="Times New Roman"/>
                          </w:rPr>
                        </w:pPr>
                        <w:r w:rsidRPr="00DA419A">
                          <w:rPr>
                            <w:rFonts w:ascii="Times New Roman" w:hAnsi="Times New Roman" w:cs="Times New Roman"/>
                          </w:rPr>
                          <w:t>0.</w:t>
                        </w:r>
                        <w:r>
                          <w:rPr>
                            <w:rFonts w:ascii="Times New Roman" w:hAnsi="Times New Roman" w:cs="Times New Roman"/>
                          </w:rPr>
                          <w:t>392*</w:t>
                        </w:r>
                      </w:p>
                    </w:txbxContent>
                  </v:textbox>
                </v:shape>
                <w10:wrap type="topAndBottom"/>
              </v:group>
            </w:pict>
          </mc:Fallback>
        </mc:AlternateContent>
      </w:r>
      <w:r w:rsidR="00D94758" w:rsidRPr="005B2097">
        <w:rPr>
          <w:rFonts w:ascii="Times New Roman" w:hAnsi="Times New Roman" w:cs="Times New Roman"/>
          <w:i/>
          <w:iCs/>
          <w:color w:val="000000"/>
          <w:sz w:val="26"/>
          <w:szCs w:val="26"/>
        </w:rPr>
        <w:t>Source</w:t>
      </w:r>
      <w:r w:rsidR="005B2097">
        <w:rPr>
          <w:rFonts w:ascii="Times New Roman" w:hAnsi="Times New Roman" w:cs="Times New Roman"/>
          <w:color w:val="000000"/>
          <w:sz w:val="26"/>
          <w:szCs w:val="26"/>
        </w:rPr>
        <w:t>.</w:t>
      </w:r>
      <w:r w:rsidR="00D94758" w:rsidRPr="00816C6E">
        <w:rPr>
          <w:rFonts w:ascii="Times New Roman" w:hAnsi="Times New Roman" w:cs="Times New Roman"/>
          <w:color w:val="000000"/>
          <w:sz w:val="26"/>
          <w:szCs w:val="26"/>
        </w:rPr>
        <w:t xml:space="preserve"> Author’s Work</w:t>
      </w:r>
    </w:p>
    <w:p w14:paraId="6B23A005" w14:textId="77777777" w:rsidR="00ED4759" w:rsidRPr="00816C6E" w:rsidRDefault="00ED4759" w:rsidP="007C5CC3">
      <w:pPr>
        <w:snapToGrid w:val="0"/>
        <w:spacing w:after="0" w:line="300" w:lineRule="auto"/>
        <w:jc w:val="center"/>
        <w:rPr>
          <w:rFonts w:ascii="Times New Roman" w:hAnsi="Times New Roman" w:cs="Times New Roman"/>
          <w:color w:val="000000"/>
          <w:sz w:val="26"/>
          <w:szCs w:val="26"/>
        </w:rPr>
      </w:pPr>
    </w:p>
    <w:p w14:paraId="50BECA24"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This study employs a nonparametric technique, bootstrapping, to estimate model coefficients and the strength of the correlation path (</w:t>
      </w:r>
      <w:proofErr w:type="spellStart"/>
      <w:r w:rsidRPr="00816C6E">
        <w:rPr>
          <w:rFonts w:ascii="Times New Roman" w:hAnsi="Times New Roman" w:cs="Times New Roman"/>
          <w:color w:val="000000"/>
          <w:sz w:val="26"/>
          <w:szCs w:val="26"/>
        </w:rPr>
        <w:t>Fornell</w:t>
      </w:r>
      <w:proofErr w:type="spellEnd"/>
      <w:r w:rsidRPr="00816C6E">
        <w:rPr>
          <w:rFonts w:ascii="Times New Roman" w:hAnsi="Times New Roman" w:cs="Times New Roman"/>
          <w:color w:val="000000"/>
          <w:sz w:val="26"/>
          <w:szCs w:val="26"/>
        </w:rPr>
        <w:t xml:space="preserve"> &amp; </w:t>
      </w:r>
      <w:proofErr w:type="spellStart"/>
      <w:r w:rsidRPr="00816C6E">
        <w:rPr>
          <w:rFonts w:ascii="Times New Roman" w:hAnsi="Times New Roman" w:cs="Times New Roman"/>
          <w:color w:val="000000"/>
          <w:sz w:val="26"/>
          <w:szCs w:val="26"/>
        </w:rPr>
        <w:t>Larcker</w:t>
      </w:r>
      <w:proofErr w:type="spellEnd"/>
      <w:r w:rsidRPr="00816C6E">
        <w:rPr>
          <w:rFonts w:ascii="Times New Roman" w:hAnsi="Times New Roman" w:cs="Times New Roman"/>
          <w:color w:val="000000"/>
          <w:sz w:val="26"/>
          <w:szCs w:val="26"/>
        </w:rPr>
        <w:t xml:space="preserve">, 1981). Based on Figure 1, the </w:t>
      </w:r>
      <w:r w:rsidRPr="005E694C">
        <w:rPr>
          <w:rFonts w:ascii="Times New Roman" w:hAnsi="Times New Roman" w:cs="Times New Roman"/>
          <w:color w:val="000000"/>
          <w:sz w:val="26"/>
          <w:szCs w:val="26"/>
        </w:rPr>
        <w:t>R</w:t>
      </w:r>
      <w:r w:rsidRPr="005E694C">
        <w:rPr>
          <w:rFonts w:ascii="Times New Roman" w:hAnsi="Times New Roman" w:cs="Times New Roman"/>
          <w:color w:val="000000"/>
          <w:sz w:val="26"/>
          <w:szCs w:val="26"/>
          <w:vertAlign w:val="superscript"/>
        </w:rPr>
        <w:t>2</w:t>
      </w:r>
      <w:r w:rsidRPr="005E694C">
        <w:rPr>
          <w:rFonts w:ascii="Times New Roman" w:hAnsi="Times New Roman" w:cs="Times New Roman"/>
          <w:color w:val="000000"/>
          <w:sz w:val="26"/>
          <w:szCs w:val="26"/>
        </w:rPr>
        <w:t xml:space="preserve"> value for brand engagement was 0.568, and the R</w:t>
      </w:r>
      <w:r w:rsidRPr="005E694C">
        <w:rPr>
          <w:rFonts w:ascii="Times New Roman" w:hAnsi="Times New Roman" w:cs="Times New Roman"/>
          <w:color w:val="000000"/>
          <w:sz w:val="26"/>
          <w:szCs w:val="26"/>
          <w:vertAlign w:val="superscript"/>
        </w:rPr>
        <w:t>2</w:t>
      </w:r>
      <w:r w:rsidRPr="005E694C">
        <w:rPr>
          <w:rFonts w:ascii="Times New Roman" w:hAnsi="Times New Roman" w:cs="Times New Roman"/>
          <w:color w:val="000000"/>
          <w:sz w:val="26"/>
          <w:szCs w:val="26"/>
        </w:rPr>
        <w:t xml:space="preserve"> for brand equity was 0.851. The R2 result indicates that brand experience accounts for 56.8% of the variance in brand engagement. The 85.1%</w:t>
      </w:r>
      <w:r w:rsidRPr="00816C6E">
        <w:rPr>
          <w:rFonts w:ascii="Times New Roman" w:hAnsi="Times New Roman" w:cs="Times New Roman"/>
          <w:color w:val="000000"/>
          <w:sz w:val="26"/>
          <w:szCs w:val="26"/>
        </w:rPr>
        <w:t xml:space="preserve"> magnitude of brand equity can be explained by brand experience and customer engagement. These findings suggest that brand engagement and brand experience significantly impact brand equity. Table 4 shows the results of the direct and indirect relationships among the constructs. Meanwhile, the Standard Beta indicates that brand experience is the strongest predictor of brand equity, accounting for 59.1% of the variance. Table 4 presents a summary of the results of the research hypothesis testing.</w:t>
      </w:r>
    </w:p>
    <w:p w14:paraId="425D9754" w14:textId="77777777" w:rsidR="00ED4759" w:rsidRPr="00816C6E" w:rsidRDefault="00ED4759" w:rsidP="00ED4759">
      <w:pPr>
        <w:spacing w:after="0" w:line="240" w:lineRule="auto"/>
        <w:rPr>
          <w:rFonts w:ascii="Times New Roman" w:hAnsi="Times New Roman" w:cs="Times New Roman"/>
          <w:b/>
          <w:bCs/>
          <w:color w:val="000000" w:themeColor="text1"/>
          <w:sz w:val="26"/>
          <w:szCs w:val="26"/>
        </w:rPr>
      </w:pPr>
    </w:p>
    <w:p w14:paraId="1B833999" w14:textId="77777777" w:rsidR="00ED4759" w:rsidRPr="00816C6E" w:rsidRDefault="00D94758" w:rsidP="00ED4759">
      <w:pPr>
        <w:spacing w:after="0" w:line="240" w:lineRule="auto"/>
        <w:rPr>
          <w:rFonts w:ascii="Times New Roman" w:hAnsi="Times New Roman" w:cs="Times New Roman"/>
          <w:b/>
          <w:bCs/>
          <w:color w:val="000000" w:themeColor="text1"/>
          <w:sz w:val="26"/>
          <w:szCs w:val="26"/>
        </w:rPr>
      </w:pPr>
      <w:r w:rsidRPr="00816C6E">
        <w:rPr>
          <w:rFonts w:ascii="Times New Roman" w:hAnsi="Times New Roman" w:cs="Times New Roman"/>
          <w:b/>
          <w:bCs/>
          <w:color w:val="000000" w:themeColor="text1"/>
          <w:sz w:val="26"/>
          <w:szCs w:val="26"/>
        </w:rPr>
        <w:t xml:space="preserve">Table 4 </w:t>
      </w:r>
      <w:r w:rsidRPr="00816C6E">
        <w:rPr>
          <w:rFonts w:ascii="Times New Roman" w:hAnsi="Times New Roman" w:cs="Times New Roman"/>
          <w:i/>
          <w:iCs/>
          <w:color w:val="000000" w:themeColor="text1"/>
          <w:sz w:val="26"/>
          <w:szCs w:val="26"/>
        </w:rPr>
        <w:t>Path Coefficient, Direct, and Indirect Relationship</w:t>
      </w:r>
    </w:p>
    <w:tbl>
      <w:tblPr>
        <w:tblStyle w:val="af1"/>
        <w:tblW w:w="8558" w:type="dxa"/>
        <w:tblLook w:val="04A0" w:firstRow="1" w:lastRow="0" w:firstColumn="1" w:lastColumn="0" w:noHBand="0" w:noVBand="1"/>
      </w:tblPr>
      <w:tblGrid>
        <w:gridCol w:w="3127"/>
        <w:gridCol w:w="1103"/>
        <w:gridCol w:w="1203"/>
        <w:gridCol w:w="1225"/>
        <w:gridCol w:w="923"/>
        <w:gridCol w:w="977"/>
      </w:tblGrid>
      <w:tr w:rsidR="00931359" w14:paraId="62F35A18" w14:textId="77777777" w:rsidTr="000C3CC7">
        <w:trPr>
          <w:trHeight w:val="553"/>
        </w:trPr>
        <w:tc>
          <w:tcPr>
            <w:tcW w:w="3129" w:type="dxa"/>
            <w:tcBorders>
              <w:top w:val="single" w:sz="4" w:space="0" w:color="auto"/>
              <w:left w:val="nil"/>
              <w:bottom w:val="single" w:sz="4" w:space="0" w:color="auto"/>
              <w:right w:val="nil"/>
            </w:tcBorders>
            <w:vAlign w:val="center"/>
          </w:tcPr>
          <w:p w14:paraId="14457262" w14:textId="77777777" w:rsidR="00ED4759" w:rsidRPr="00816C6E" w:rsidRDefault="00D94758" w:rsidP="009B1458">
            <w:pPr>
              <w:snapToGrid w:val="0"/>
              <w:spacing w:after="0" w:line="240" w:lineRule="auto"/>
              <w:jc w:val="center"/>
              <w:rPr>
                <w:rFonts w:ascii="Times New Roman" w:hAnsi="Times New Roman" w:cs="Times New Roman"/>
                <w:b/>
                <w:bCs/>
                <w:color w:val="000000" w:themeColor="text1"/>
                <w:sz w:val="24"/>
                <w:szCs w:val="24"/>
              </w:rPr>
            </w:pPr>
            <w:r w:rsidRPr="00816C6E">
              <w:rPr>
                <w:rFonts w:ascii="Times New Roman" w:hAnsi="Times New Roman" w:cs="Times New Roman"/>
                <w:b/>
                <w:bCs/>
                <w:color w:val="000000" w:themeColor="text1"/>
                <w:sz w:val="24"/>
                <w:szCs w:val="24"/>
              </w:rPr>
              <w:t>Path</w:t>
            </w:r>
          </w:p>
        </w:tc>
        <w:tc>
          <w:tcPr>
            <w:tcW w:w="1103" w:type="dxa"/>
            <w:tcBorders>
              <w:top w:val="single" w:sz="4" w:space="0" w:color="auto"/>
              <w:left w:val="nil"/>
              <w:bottom w:val="single" w:sz="4" w:space="0" w:color="auto"/>
              <w:right w:val="nil"/>
            </w:tcBorders>
            <w:vAlign w:val="center"/>
          </w:tcPr>
          <w:p w14:paraId="4741DE3C" w14:textId="77777777" w:rsidR="00ED4759" w:rsidRPr="00816C6E" w:rsidRDefault="00D94758" w:rsidP="009B1458">
            <w:pPr>
              <w:snapToGrid w:val="0"/>
              <w:spacing w:after="0" w:line="240" w:lineRule="auto"/>
              <w:jc w:val="center"/>
              <w:rPr>
                <w:rFonts w:ascii="Times New Roman" w:hAnsi="Times New Roman" w:cs="Times New Roman"/>
                <w:b/>
                <w:bCs/>
                <w:color w:val="000000" w:themeColor="text1"/>
                <w:sz w:val="24"/>
                <w:szCs w:val="24"/>
              </w:rPr>
            </w:pPr>
            <w:r w:rsidRPr="00816C6E">
              <w:rPr>
                <w:rFonts w:ascii="Times New Roman" w:hAnsi="Times New Roman" w:cs="Times New Roman"/>
                <w:b/>
                <w:bCs/>
                <w:color w:val="000000" w:themeColor="text1"/>
                <w:sz w:val="24"/>
                <w:szCs w:val="24"/>
              </w:rPr>
              <w:t>Std. Beta (β)</w:t>
            </w:r>
          </w:p>
        </w:tc>
        <w:tc>
          <w:tcPr>
            <w:tcW w:w="1203" w:type="dxa"/>
            <w:tcBorders>
              <w:top w:val="single" w:sz="4" w:space="0" w:color="auto"/>
              <w:left w:val="nil"/>
              <w:bottom w:val="single" w:sz="4" w:space="0" w:color="auto"/>
              <w:right w:val="nil"/>
            </w:tcBorders>
            <w:vAlign w:val="center"/>
          </w:tcPr>
          <w:p w14:paraId="44F78C52" w14:textId="77777777" w:rsidR="00ED4759" w:rsidRPr="00816C6E" w:rsidRDefault="00D94758" w:rsidP="009B1458">
            <w:pPr>
              <w:snapToGrid w:val="0"/>
              <w:spacing w:after="0" w:line="240" w:lineRule="auto"/>
              <w:jc w:val="center"/>
              <w:rPr>
                <w:rFonts w:ascii="Times New Roman" w:hAnsi="Times New Roman" w:cs="Times New Roman"/>
                <w:b/>
                <w:bCs/>
                <w:color w:val="000000" w:themeColor="text1"/>
                <w:sz w:val="24"/>
                <w:szCs w:val="24"/>
              </w:rPr>
            </w:pPr>
            <w:r w:rsidRPr="00816C6E">
              <w:rPr>
                <w:rFonts w:ascii="Times New Roman" w:hAnsi="Times New Roman" w:cs="Times New Roman"/>
                <w:b/>
                <w:bCs/>
                <w:color w:val="000000" w:themeColor="text1"/>
                <w:sz w:val="24"/>
                <w:szCs w:val="24"/>
              </w:rPr>
              <w:t>Std. Error</w:t>
            </w:r>
          </w:p>
        </w:tc>
        <w:tc>
          <w:tcPr>
            <w:tcW w:w="1225" w:type="dxa"/>
            <w:tcBorders>
              <w:top w:val="single" w:sz="4" w:space="0" w:color="auto"/>
              <w:left w:val="nil"/>
              <w:bottom w:val="single" w:sz="4" w:space="0" w:color="auto"/>
              <w:right w:val="nil"/>
            </w:tcBorders>
            <w:vAlign w:val="center"/>
          </w:tcPr>
          <w:p w14:paraId="67CF0E89" w14:textId="77777777" w:rsidR="00ED4759" w:rsidRPr="00816C6E" w:rsidRDefault="00D94758" w:rsidP="009B1458">
            <w:pPr>
              <w:snapToGrid w:val="0"/>
              <w:spacing w:after="0" w:line="240" w:lineRule="auto"/>
              <w:jc w:val="center"/>
              <w:rPr>
                <w:rFonts w:ascii="Times New Roman" w:hAnsi="Times New Roman" w:cs="Times New Roman"/>
                <w:b/>
                <w:bCs/>
                <w:color w:val="000000" w:themeColor="text1"/>
                <w:sz w:val="24"/>
                <w:szCs w:val="24"/>
              </w:rPr>
            </w:pPr>
            <w:r w:rsidRPr="00816C6E">
              <w:rPr>
                <w:rFonts w:ascii="Times New Roman" w:hAnsi="Times New Roman" w:cs="Times New Roman"/>
                <w:b/>
                <w:bCs/>
                <w:color w:val="000000" w:themeColor="text1"/>
                <w:sz w:val="24"/>
                <w:szCs w:val="24"/>
              </w:rPr>
              <w:t>t-value</w:t>
            </w:r>
          </w:p>
        </w:tc>
        <w:tc>
          <w:tcPr>
            <w:tcW w:w="923" w:type="dxa"/>
            <w:tcBorders>
              <w:top w:val="single" w:sz="4" w:space="0" w:color="auto"/>
              <w:left w:val="nil"/>
              <w:bottom w:val="single" w:sz="4" w:space="0" w:color="auto"/>
              <w:right w:val="nil"/>
            </w:tcBorders>
            <w:vAlign w:val="center"/>
          </w:tcPr>
          <w:p w14:paraId="0D6D9B6D" w14:textId="77777777" w:rsidR="00ED4759" w:rsidRPr="00816C6E" w:rsidRDefault="00D94758" w:rsidP="009B1458">
            <w:pPr>
              <w:snapToGrid w:val="0"/>
              <w:spacing w:after="0" w:line="240" w:lineRule="auto"/>
              <w:jc w:val="center"/>
              <w:rPr>
                <w:rFonts w:ascii="Times New Roman" w:hAnsi="Times New Roman" w:cs="Times New Roman"/>
                <w:b/>
                <w:bCs/>
                <w:color w:val="000000" w:themeColor="text1"/>
                <w:sz w:val="24"/>
                <w:szCs w:val="24"/>
              </w:rPr>
            </w:pPr>
            <w:r w:rsidRPr="00816C6E">
              <w:rPr>
                <w:rFonts w:ascii="Times New Roman" w:hAnsi="Times New Roman" w:cs="Times New Roman"/>
                <w:b/>
                <w:bCs/>
                <w:color w:val="000000" w:themeColor="text1"/>
                <w:sz w:val="24"/>
                <w:szCs w:val="24"/>
              </w:rPr>
              <w:t>p-value</w:t>
            </w:r>
          </w:p>
        </w:tc>
        <w:tc>
          <w:tcPr>
            <w:tcW w:w="975" w:type="dxa"/>
            <w:tcBorders>
              <w:top w:val="single" w:sz="4" w:space="0" w:color="auto"/>
              <w:left w:val="nil"/>
              <w:bottom w:val="single" w:sz="4" w:space="0" w:color="auto"/>
              <w:right w:val="nil"/>
            </w:tcBorders>
            <w:vAlign w:val="center"/>
          </w:tcPr>
          <w:p w14:paraId="40F06F87" w14:textId="77777777" w:rsidR="00ED4759" w:rsidRPr="00816C6E" w:rsidRDefault="00D94758" w:rsidP="009B1458">
            <w:pPr>
              <w:snapToGrid w:val="0"/>
              <w:spacing w:after="0" w:line="240" w:lineRule="auto"/>
              <w:jc w:val="center"/>
              <w:rPr>
                <w:rFonts w:ascii="Times New Roman" w:hAnsi="Times New Roman" w:cs="Times New Roman"/>
                <w:b/>
                <w:bCs/>
                <w:color w:val="000000" w:themeColor="text1"/>
                <w:sz w:val="24"/>
                <w:szCs w:val="24"/>
              </w:rPr>
            </w:pPr>
            <w:r w:rsidRPr="00816C6E">
              <w:rPr>
                <w:rFonts w:ascii="Times New Roman" w:hAnsi="Times New Roman" w:cs="Times New Roman"/>
                <w:b/>
                <w:bCs/>
                <w:color w:val="000000" w:themeColor="text1"/>
                <w:sz w:val="24"/>
                <w:szCs w:val="24"/>
              </w:rPr>
              <w:t>Test-Result</w:t>
            </w:r>
          </w:p>
        </w:tc>
      </w:tr>
      <w:tr w:rsidR="00931359" w14:paraId="44B22718" w14:textId="77777777" w:rsidTr="007C5CC3">
        <w:trPr>
          <w:trHeight w:val="737"/>
        </w:trPr>
        <w:tc>
          <w:tcPr>
            <w:tcW w:w="3129" w:type="dxa"/>
            <w:tcBorders>
              <w:top w:val="single" w:sz="4" w:space="0" w:color="auto"/>
              <w:left w:val="nil"/>
              <w:bottom w:val="nil"/>
              <w:right w:val="nil"/>
            </w:tcBorders>
            <w:vAlign w:val="center"/>
          </w:tcPr>
          <w:p w14:paraId="2CD43292" w14:textId="77777777" w:rsidR="00ED4759" w:rsidRPr="00816C6E" w:rsidRDefault="00D94758" w:rsidP="007C5CC3">
            <w:pPr>
              <w:spacing w:after="0" w:line="240" w:lineRule="auto"/>
              <w:jc w:val="both"/>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 xml:space="preserve">Brand Experience </w:t>
            </w:r>
            <w:r w:rsidRPr="005E694C">
              <w:rPr>
                <w:rFonts w:ascii="Wingdings" w:hAnsi="Wingdings" w:cs="Times New Roman"/>
                <w:color w:val="000000" w:themeColor="text1"/>
                <w:sz w:val="24"/>
                <w:szCs w:val="24"/>
              </w:rPr>
              <w:sym w:font="Wingdings" w:char="F0E0"/>
            </w:r>
            <w:r w:rsidRPr="00816C6E">
              <w:rPr>
                <w:rFonts w:ascii="Times New Roman" w:hAnsi="Times New Roman" w:cs="Times New Roman"/>
                <w:color w:val="000000" w:themeColor="text1"/>
                <w:sz w:val="24"/>
                <w:szCs w:val="24"/>
              </w:rPr>
              <w:t xml:space="preserve">  Brand Equity</w:t>
            </w:r>
          </w:p>
        </w:tc>
        <w:tc>
          <w:tcPr>
            <w:tcW w:w="1103" w:type="dxa"/>
            <w:tcBorders>
              <w:top w:val="single" w:sz="4" w:space="0" w:color="auto"/>
              <w:left w:val="nil"/>
              <w:bottom w:val="nil"/>
              <w:right w:val="nil"/>
            </w:tcBorders>
            <w:vAlign w:val="center"/>
          </w:tcPr>
          <w:p w14:paraId="63A4DB6F"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0.591</w:t>
            </w:r>
          </w:p>
        </w:tc>
        <w:tc>
          <w:tcPr>
            <w:tcW w:w="1203" w:type="dxa"/>
            <w:tcBorders>
              <w:top w:val="single" w:sz="4" w:space="0" w:color="auto"/>
              <w:left w:val="nil"/>
              <w:bottom w:val="nil"/>
              <w:right w:val="nil"/>
            </w:tcBorders>
            <w:vAlign w:val="center"/>
          </w:tcPr>
          <w:p w14:paraId="46832DB5"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0.042</w:t>
            </w:r>
          </w:p>
        </w:tc>
        <w:tc>
          <w:tcPr>
            <w:tcW w:w="1225" w:type="dxa"/>
            <w:tcBorders>
              <w:top w:val="single" w:sz="4" w:space="0" w:color="auto"/>
              <w:left w:val="nil"/>
              <w:bottom w:val="nil"/>
              <w:right w:val="nil"/>
            </w:tcBorders>
            <w:vAlign w:val="center"/>
          </w:tcPr>
          <w:p w14:paraId="317D4050"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5E694C">
              <w:rPr>
                <w:rFonts w:ascii="Times New Roman" w:hAnsi="Times New Roman" w:cs="Times New Roman"/>
                <w:color w:val="000000" w:themeColor="text1"/>
                <w:sz w:val="24"/>
                <w:szCs w:val="24"/>
              </w:rPr>
              <w:t>14.071</w:t>
            </w:r>
          </w:p>
        </w:tc>
        <w:tc>
          <w:tcPr>
            <w:tcW w:w="923" w:type="dxa"/>
            <w:tcBorders>
              <w:top w:val="single" w:sz="4" w:space="0" w:color="auto"/>
              <w:left w:val="nil"/>
              <w:bottom w:val="nil"/>
              <w:right w:val="nil"/>
            </w:tcBorders>
            <w:vAlign w:val="center"/>
          </w:tcPr>
          <w:p w14:paraId="2D190273"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&lt;0.001</w:t>
            </w:r>
          </w:p>
        </w:tc>
        <w:tc>
          <w:tcPr>
            <w:tcW w:w="975" w:type="dxa"/>
            <w:tcBorders>
              <w:top w:val="single" w:sz="4" w:space="0" w:color="auto"/>
              <w:left w:val="nil"/>
              <w:bottom w:val="nil"/>
              <w:right w:val="nil"/>
            </w:tcBorders>
            <w:vAlign w:val="center"/>
          </w:tcPr>
          <w:p w14:paraId="337FB0E6"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Support</w:t>
            </w:r>
          </w:p>
        </w:tc>
      </w:tr>
      <w:tr w:rsidR="00931359" w14:paraId="72F42D1C" w14:textId="77777777" w:rsidTr="007C5CC3">
        <w:trPr>
          <w:trHeight w:val="737"/>
        </w:trPr>
        <w:tc>
          <w:tcPr>
            <w:tcW w:w="3129" w:type="dxa"/>
            <w:tcBorders>
              <w:top w:val="nil"/>
              <w:left w:val="nil"/>
              <w:bottom w:val="nil"/>
              <w:right w:val="nil"/>
            </w:tcBorders>
            <w:vAlign w:val="center"/>
          </w:tcPr>
          <w:p w14:paraId="01929EC3" w14:textId="77777777" w:rsidR="00ED4759" w:rsidRPr="00816C6E" w:rsidRDefault="00D94758" w:rsidP="007C5CC3">
            <w:pPr>
              <w:spacing w:after="0" w:line="240" w:lineRule="auto"/>
              <w:jc w:val="both"/>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 xml:space="preserve">Brand Experience </w:t>
            </w:r>
            <w:r w:rsidRPr="005E694C">
              <w:rPr>
                <w:rFonts w:ascii="Wingdings" w:hAnsi="Wingdings" w:cs="Times New Roman"/>
                <w:color w:val="000000" w:themeColor="text1"/>
                <w:sz w:val="24"/>
                <w:szCs w:val="24"/>
              </w:rPr>
              <w:sym w:font="Wingdings" w:char="F0E0"/>
            </w:r>
            <w:r w:rsidRPr="00816C6E">
              <w:rPr>
                <w:rFonts w:ascii="Times New Roman" w:hAnsi="Times New Roman" w:cs="Times New Roman"/>
                <w:color w:val="000000" w:themeColor="text1"/>
                <w:sz w:val="24"/>
                <w:szCs w:val="24"/>
              </w:rPr>
              <w:t xml:space="preserve">  Brand Engagement</w:t>
            </w:r>
          </w:p>
        </w:tc>
        <w:tc>
          <w:tcPr>
            <w:tcW w:w="1103" w:type="dxa"/>
            <w:tcBorders>
              <w:top w:val="nil"/>
              <w:left w:val="nil"/>
              <w:bottom w:val="nil"/>
              <w:right w:val="nil"/>
            </w:tcBorders>
            <w:vAlign w:val="center"/>
          </w:tcPr>
          <w:p w14:paraId="70E1468D"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0.754</w:t>
            </w:r>
          </w:p>
        </w:tc>
        <w:tc>
          <w:tcPr>
            <w:tcW w:w="1203" w:type="dxa"/>
            <w:tcBorders>
              <w:top w:val="nil"/>
              <w:left w:val="nil"/>
              <w:bottom w:val="nil"/>
              <w:right w:val="nil"/>
            </w:tcBorders>
            <w:vAlign w:val="center"/>
          </w:tcPr>
          <w:p w14:paraId="0D5C7368"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0.027</w:t>
            </w:r>
          </w:p>
        </w:tc>
        <w:tc>
          <w:tcPr>
            <w:tcW w:w="1225" w:type="dxa"/>
            <w:tcBorders>
              <w:top w:val="nil"/>
              <w:left w:val="nil"/>
              <w:bottom w:val="nil"/>
              <w:right w:val="nil"/>
            </w:tcBorders>
            <w:vAlign w:val="center"/>
          </w:tcPr>
          <w:p w14:paraId="2EC41641"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27.665</w:t>
            </w:r>
          </w:p>
        </w:tc>
        <w:tc>
          <w:tcPr>
            <w:tcW w:w="923" w:type="dxa"/>
            <w:tcBorders>
              <w:top w:val="nil"/>
              <w:left w:val="nil"/>
              <w:bottom w:val="nil"/>
              <w:right w:val="nil"/>
            </w:tcBorders>
            <w:vAlign w:val="center"/>
          </w:tcPr>
          <w:p w14:paraId="33967B4E"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&lt;0.001</w:t>
            </w:r>
          </w:p>
        </w:tc>
        <w:tc>
          <w:tcPr>
            <w:tcW w:w="975" w:type="dxa"/>
            <w:tcBorders>
              <w:top w:val="nil"/>
              <w:left w:val="nil"/>
              <w:bottom w:val="nil"/>
              <w:right w:val="nil"/>
            </w:tcBorders>
            <w:vAlign w:val="center"/>
          </w:tcPr>
          <w:p w14:paraId="2F0521F3"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Support</w:t>
            </w:r>
          </w:p>
        </w:tc>
      </w:tr>
      <w:tr w:rsidR="00931359" w14:paraId="041EAF4F" w14:textId="77777777" w:rsidTr="007C5CC3">
        <w:trPr>
          <w:trHeight w:val="737"/>
        </w:trPr>
        <w:tc>
          <w:tcPr>
            <w:tcW w:w="3129" w:type="dxa"/>
            <w:tcBorders>
              <w:top w:val="nil"/>
              <w:left w:val="nil"/>
              <w:bottom w:val="nil"/>
              <w:right w:val="nil"/>
            </w:tcBorders>
            <w:vAlign w:val="center"/>
          </w:tcPr>
          <w:p w14:paraId="1C73701A" w14:textId="77777777" w:rsidR="00ED4759" w:rsidRPr="00816C6E" w:rsidRDefault="00D94758" w:rsidP="007C5CC3">
            <w:pPr>
              <w:spacing w:after="0" w:line="240" w:lineRule="auto"/>
              <w:jc w:val="both"/>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 xml:space="preserve">Brand Engagement </w:t>
            </w:r>
            <w:r w:rsidRPr="005E694C">
              <w:rPr>
                <w:rFonts w:ascii="Wingdings" w:hAnsi="Wingdings" w:cs="Times New Roman"/>
                <w:color w:val="000000" w:themeColor="text1"/>
                <w:sz w:val="24"/>
                <w:szCs w:val="24"/>
              </w:rPr>
              <w:sym w:font="Wingdings" w:char="F0E0"/>
            </w:r>
            <w:r w:rsidRPr="00816C6E">
              <w:rPr>
                <w:rFonts w:ascii="Times New Roman" w:hAnsi="Times New Roman" w:cs="Times New Roman"/>
                <w:color w:val="000000" w:themeColor="text1"/>
                <w:sz w:val="24"/>
                <w:szCs w:val="24"/>
              </w:rPr>
              <w:t xml:space="preserve">  Brand Equity</w:t>
            </w:r>
          </w:p>
        </w:tc>
        <w:tc>
          <w:tcPr>
            <w:tcW w:w="1103" w:type="dxa"/>
            <w:tcBorders>
              <w:top w:val="nil"/>
              <w:left w:val="nil"/>
              <w:bottom w:val="nil"/>
              <w:right w:val="nil"/>
            </w:tcBorders>
            <w:vAlign w:val="center"/>
          </w:tcPr>
          <w:p w14:paraId="13A062B3"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0.392</w:t>
            </w:r>
          </w:p>
        </w:tc>
        <w:tc>
          <w:tcPr>
            <w:tcW w:w="1203" w:type="dxa"/>
            <w:tcBorders>
              <w:top w:val="nil"/>
              <w:left w:val="nil"/>
              <w:bottom w:val="nil"/>
              <w:right w:val="nil"/>
            </w:tcBorders>
            <w:vAlign w:val="center"/>
          </w:tcPr>
          <w:p w14:paraId="0AF72AEC"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0.045</w:t>
            </w:r>
          </w:p>
        </w:tc>
        <w:tc>
          <w:tcPr>
            <w:tcW w:w="1225" w:type="dxa"/>
            <w:tcBorders>
              <w:top w:val="nil"/>
              <w:left w:val="nil"/>
              <w:bottom w:val="nil"/>
              <w:right w:val="nil"/>
            </w:tcBorders>
            <w:vAlign w:val="center"/>
          </w:tcPr>
          <w:p w14:paraId="4736548F"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8.704</w:t>
            </w:r>
          </w:p>
        </w:tc>
        <w:tc>
          <w:tcPr>
            <w:tcW w:w="923" w:type="dxa"/>
            <w:tcBorders>
              <w:top w:val="nil"/>
              <w:left w:val="nil"/>
              <w:bottom w:val="nil"/>
              <w:right w:val="nil"/>
            </w:tcBorders>
            <w:vAlign w:val="center"/>
          </w:tcPr>
          <w:p w14:paraId="0A56CDF7"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&lt;0.001</w:t>
            </w:r>
          </w:p>
        </w:tc>
        <w:tc>
          <w:tcPr>
            <w:tcW w:w="975" w:type="dxa"/>
            <w:tcBorders>
              <w:top w:val="nil"/>
              <w:left w:val="nil"/>
              <w:bottom w:val="nil"/>
              <w:right w:val="nil"/>
            </w:tcBorders>
            <w:vAlign w:val="center"/>
          </w:tcPr>
          <w:p w14:paraId="3F28324E"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Support</w:t>
            </w:r>
          </w:p>
        </w:tc>
      </w:tr>
      <w:tr w:rsidR="00931359" w14:paraId="6696CFF7" w14:textId="77777777" w:rsidTr="007C5CC3">
        <w:trPr>
          <w:trHeight w:val="737"/>
        </w:trPr>
        <w:tc>
          <w:tcPr>
            <w:tcW w:w="3129" w:type="dxa"/>
            <w:tcBorders>
              <w:top w:val="nil"/>
              <w:left w:val="nil"/>
              <w:bottom w:val="single" w:sz="4" w:space="0" w:color="auto"/>
              <w:right w:val="nil"/>
            </w:tcBorders>
            <w:vAlign w:val="center"/>
          </w:tcPr>
          <w:p w14:paraId="28381C6D" w14:textId="77777777" w:rsidR="00ED4759" w:rsidRPr="00816C6E" w:rsidRDefault="00D94758" w:rsidP="007C5CC3">
            <w:pPr>
              <w:spacing w:after="0" w:line="240" w:lineRule="auto"/>
              <w:jc w:val="both"/>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 xml:space="preserve">Brand experience </w:t>
            </w:r>
            <w:r w:rsidRPr="005E694C">
              <w:rPr>
                <w:rFonts w:ascii="Wingdings" w:hAnsi="Wingdings" w:cs="Times New Roman"/>
                <w:color w:val="000000" w:themeColor="text1"/>
                <w:sz w:val="24"/>
                <w:szCs w:val="24"/>
              </w:rPr>
              <w:sym w:font="Wingdings" w:char="F0E0"/>
            </w:r>
            <w:r w:rsidRPr="00816C6E">
              <w:rPr>
                <w:rFonts w:ascii="Times New Roman" w:hAnsi="Times New Roman" w:cs="Times New Roman"/>
                <w:color w:val="000000" w:themeColor="text1"/>
                <w:sz w:val="24"/>
                <w:szCs w:val="24"/>
              </w:rPr>
              <w:t xml:space="preserve"> Brand Engagement </w:t>
            </w:r>
            <w:r w:rsidRPr="005E694C">
              <w:rPr>
                <w:rFonts w:ascii="Wingdings" w:hAnsi="Wingdings" w:cs="Times New Roman"/>
                <w:color w:val="000000" w:themeColor="text1"/>
                <w:sz w:val="24"/>
                <w:szCs w:val="24"/>
              </w:rPr>
              <w:sym w:font="Wingdings" w:char="F0E0"/>
            </w:r>
            <w:r w:rsidRPr="00816C6E">
              <w:rPr>
                <w:rFonts w:ascii="Times New Roman" w:hAnsi="Times New Roman" w:cs="Times New Roman"/>
                <w:color w:val="000000" w:themeColor="text1"/>
                <w:sz w:val="24"/>
                <w:szCs w:val="24"/>
              </w:rPr>
              <w:t xml:space="preserve"> Brand Equity</w:t>
            </w:r>
          </w:p>
        </w:tc>
        <w:tc>
          <w:tcPr>
            <w:tcW w:w="1103" w:type="dxa"/>
            <w:tcBorders>
              <w:top w:val="nil"/>
              <w:left w:val="nil"/>
              <w:bottom w:val="single" w:sz="4" w:space="0" w:color="auto"/>
              <w:right w:val="nil"/>
            </w:tcBorders>
            <w:vAlign w:val="center"/>
          </w:tcPr>
          <w:p w14:paraId="0BA75A51"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0.295</w:t>
            </w:r>
          </w:p>
        </w:tc>
        <w:tc>
          <w:tcPr>
            <w:tcW w:w="1203" w:type="dxa"/>
            <w:tcBorders>
              <w:top w:val="nil"/>
              <w:left w:val="nil"/>
              <w:bottom w:val="single" w:sz="4" w:space="0" w:color="auto"/>
              <w:right w:val="nil"/>
            </w:tcBorders>
            <w:vAlign w:val="center"/>
          </w:tcPr>
          <w:p w14:paraId="2E408B4D"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0.0345</w:t>
            </w:r>
          </w:p>
        </w:tc>
        <w:tc>
          <w:tcPr>
            <w:tcW w:w="1225" w:type="dxa"/>
            <w:tcBorders>
              <w:top w:val="nil"/>
              <w:left w:val="nil"/>
              <w:bottom w:val="single" w:sz="4" w:space="0" w:color="auto"/>
              <w:right w:val="nil"/>
            </w:tcBorders>
            <w:vAlign w:val="center"/>
          </w:tcPr>
          <w:p w14:paraId="7D2CD373"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8.563</w:t>
            </w:r>
          </w:p>
        </w:tc>
        <w:tc>
          <w:tcPr>
            <w:tcW w:w="923" w:type="dxa"/>
            <w:tcBorders>
              <w:top w:val="nil"/>
              <w:left w:val="nil"/>
              <w:bottom w:val="single" w:sz="4" w:space="0" w:color="auto"/>
              <w:right w:val="nil"/>
            </w:tcBorders>
            <w:vAlign w:val="center"/>
          </w:tcPr>
          <w:p w14:paraId="3BB8D1BF"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&lt;0.001</w:t>
            </w:r>
          </w:p>
        </w:tc>
        <w:tc>
          <w:tcPr>
            <w:tcW w:w="975" w:type="dxa"/>
            <w:tcBorders>
              <w:top w:val="nil"/>
              <w:left w:val="nil"/>
              <w:bottom w:val="single" w:sz="4" w:space="0" w:color="auto"/>
              <w:right w:val="nil"/>
            </w:tcBorders>
            <w:vAlign w:val="center"/>
          </w:tcPr>
          <w:p w14:paraId="3C5366AD"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Support</w:t>
            </w:r>
          </w:p>
        </w:tc>
      </w:tr>
      <w:tr w:rsidR="00931359" w14:paraId="0F40AFB7" w14:textId="77777777" w:rsidTr="007C5CC3">
        <w:trPr>
          <w:trHeight w:val="737"/>
        </w:trPr>
        <w:tc>
          <w:tcPr>
            <w:tcW w:w="3129" w:type="dxa"/>
            <w:tcBorders>
              <w:top w:val="single" w:sz="4" w:space="0" w:color="auto"/>
              <w:left w:val="nil"/>
              <w:bottom w:val="single" w:sz="4" w:space="0" w:color="auto"/>
              <w:right w:val="nil"/>
            </w:tcBorders>
            <w:vAlign w:val="center"/>
          </w:tcPr>
          <w:p w14:paraId="42B51DC2" w14:textId="77777777" w:rsidR="00ED4759" w:rsidRPr="00816C6E" w:rsidRDefault="00D94758" w:rsidP="007C5CC3">
            <w:pPr>
              <w:spacing w:after="0" w:line="240" w:lineRule="auto"/>
              <w:jc w:val="both"/>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R</w:t>
            </w:r>
            <w:r w:rsidRPr="00816C6E">
              <w:rPr>
                <w:rFonts w:ascii="Times New Roman" w:hAnsi="Times New Roman" w:cs="Times New Roman"/>
                <w:color w:val="000000" w:themeColor="text1"/>
                <w:sz w:val="24"/>
                <w:szCs w:val="24"/>
                <w:vertAlign w:val="superscript"/>
              </w:rPr>
              <w:t>2</w:t>
            </w:r>
            <w:r w:rsidRPr="00816C6E">
              <w:rPr>
                <w:rFonts w:ascii="Times New Roman" w:hAnsi="Times New Roman" w:cs="Times New Roman"/>
                <w:color w:val="000000" w:themeColor="text1"/>
                <w:sz w:val="24"/>
                <w:szCs w:val="24"/>
              </w:rPr>
              <w:t xml:space="preserve"> Brand Engagement</w:t>
            </w:r>
          </w:p>
          <w:p w14:paraId="39436BF3" w14:textId="77777777" w:rsidR="00ED4759" w:rsidRPr="00816C6E" w:rsidRDefault="00D94758" w:rsidP="007C5CC3">
            <w:pPr>
              <w:spacing w:after="0" w:line="240" w:lineRule="auto"/>
              <w:jc w:val="both"/>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R</w:t>
            </w:r>
            <w:r w:rsidRPr="00816C6E">
              <w:rPr>
                <w:rFonts w:ascii="Times New Roman" w:hAnsi="Times New Roman" w:cs="Times New Roman"/>
                <w:color w:val="000000" w:themeColor="text1"/>
                <w:sz w:val="24"/>
                <w:szCs w:val="24"/>
                <w:vertAlign w:val="superscript"/>
              </w:rPr>
              <w:t>2</w:t>
            </w:r>
            <w:r w:rsidRPr="00816C6E">
              <w:rPr>
                <w:rFonts w:ascii="Times New Roman" w:hAnsi="Times New Roman" w:cs="Times New Roman"/>
                <w:color w:val="000000" w:themeColor="text1"/>
                <w:sz w:val="24"/>
                <w:szCs w:val="24"/>
              </w:rPr>
              <w:t xml:space="preserve"> Brand Equity</w:t>
            </w:r>
          </w:p>
        </w:tc>
        <w:tc>
          <w:tcPr>
            <w:tcW w:w="1103" w:type="dxa"/>
            <w:tcBorders>
              <w:top w:val="single" w:sz="4" w:space="0" w:color="auto"/>
              <w:left w:val="nil"/>
              <w:bottom w:val="single" w:sz="4" w:space="0" w:color="auto"/>
              <w:right w:val="nil"/>
            </w:tcBorders>
            <w:vAlign w:val="center"/>
          </w:tcPr>
          <w:p w14:paraId="6A912643"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0.568</w:t>
            </w:r>
          </w:p>
          <w:p w14:paraId="5D75C223"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0.851</w:t>
            </w:r>
          </w:p>
        </w:tc>
        <w:tc>
          <w:tcPr>
            <w:tcW w:w="2428" w:type="dxa"/>
            <w:gridSpan w:val="2"/>
            <w:tcBorders>
              <w:top w:val="single" w:sz="4" w:space="0" w:color="auto"/>
              <w:left w:val="nil"/>
              <w:bottom w:val="single" w:sz="4" w:space="0" w:color="auto"/>
              <w:right w:val="nil"/>
            </w:tcBorders>
            <w:vAlign w:val="center"/>
          </w:tcPr>
          <w:p w14:paraId="09A5A4D7"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Q</w:t>
            </w:r>
            <w:r w:rsidRPr="00816C6E">
              <w:rPr>
                <w:rFonts w:ascii="Times New Roman" w:hAnsi="Times New Roman" w:cs="Times New Roman"/>
                <w:color w:val="000000" w:themeColor="text1"/>
                <w:sz w:val="24"/>
                <w:szCs w:val="24"/>
                <w:vertAlign w:val="superscript"/>
              </w:rPr>
              <w:t>2</w:t>
            </w:r>
            <w:r w:rsidRPr="00816C6E">
              <w:rPr>
                <w:rFonts w:ascii="Times New Roman" w:hAnsi="Times New Roman" w:cs="Times New Roman"/>
                <w:color w:val="000000" w:themeColor="text1"/>
                <w:sz w:val="24"/>
                <w:szCs w:val="24"/>
              </w:rPr>
              <w:t xml:space="preserve"> Brand Engagement</w:t>
            </w:r>
          </w:p>
          <w:p w14:paraId="32B183B4"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Q</w:t>
            </w:r>
            <w:r w:rsidRPr="00816C6E">
              <w:rPr>
                <w:rFonts w:ascii="Times New Roman" w:hAnsi="Times New Roman" w:cs="Times New Roman"/>
                <w:color w:val="000000" w:themeColor="text1"/>
                <w:sz w:val="24"/>
                <w:szCs w:val="24"/>
                <w:vertAlign w:val="superscript"/>
              </w:rPr>
              <w:t>2</w:t>
            </w:r>
            <w:r w:rsidRPr="00816C6E">
              <w:rPr>
                <w:rFonts w:ascii="Times New Roman" w:hAnsi="Times New Roman" w:cs="Times New Roman"/>
                <w:color w:val="000000" w:themeColor="text1"/>
                <w:sz w:val="24"/>
                <w:szCs w:val="24"/>
              </w:rPr>
              <w:t xml:space="preserve"> Brand Equity</w:t>
            </w:r>
          </w:p>
        </w:tc>
        <w:tc>
          <w:tcPr>
            <w:tcW w:w="923" w:type="dxa"/>
            <w:tcBorders>
              <w:top w:val="single" w:sz="4" w:space="0" w:color="auto"/>
              <w:left w:val="nil"/>
              <w:bottom w:val="single" w:sz="4" w:space="0" w:color="auto"/>
              <w:right w:val="nil"/>
            </w:tcBorders>
            <w:vAlign w:val="center"/>
          </w:tcPr>
          <w:p w14:paraId="5F1661B0"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0.479</w:t>
            </w:r>
          </w:p>
          <w:p w14:paraId="78AE79D8" w14:textId="77777777" w:rsidR="00ED4759" w:rsidRPr="00816C6E" w:rsidRDefault="00D94758" w:rsidP="007C5CC3">
            <w:pPr>
              <w:spacing w:after="0" w:line="240" w:lineRule="auto"/>
              <w:jc w:val="center"/>
              <w:rPr>
                <w:rFonts w:ascii="Times New Roman" w:hAnsi="Times New Roman" w:cs="Times New Roman"/>
                <w:color w:val="000000" w:themeColor="text1"/>
                <w:sz w:val="24"/>
                <w:szCs w:val="24"/>
              </w:rPr>
            </w:pPr>
            <w:r w:rsidRPr="00816C6E">
              <w:rPr>
                <w:rFonts w:ascii="Times New Roman" w:hAnsi="Times New Roman" w:cs="Times New Roman"/>
                <w:color w:val="000000" w:themeColor="text1"/>
                <w:sz w:val="24"/>
                <w:szCs w:val="24"/>
              </w:rPr>
              <w:t>0.368</w:t>
            </w:r>
          </w:p>
        </w:tc>
        <w:tc>
          <w:tcPr>
            <w:tcW w:w="975" w:type="dxa"/>
            <w:tcBorders>
              <w:top w:val="single" w:sz="4" w:space="0" w:color="auto"/>
              <w:left w:val="nil"/>
              <w:bottom w:val="single" w:sz="4" w:space="0" w:color="auto"/>
              <w:right w:val="nil"/>
            </w:tcBorders>
            <w:vAlign w:val="center"/>
          </w:tcPr>
          <w:p w14:paraId="58855CA9" w14:textId="77777777" w:rsidR="00ED4759" w:rsidRPr="00816C6E" w:rsidRDefault="00ED4759" w:rsidP="007C5CC3">
            <w:pPr>
              <w:spacing w:after="0" w:line="240" w:lineRule="auto"/>
              <w:jc w:val="center"/>
              <w:rPr>
                <w:rFonts w:ascii="Times New Roman" w:hAnsi="Times New Roman" w:cs="Times New Roman"/>
                <w:color w:val="000000" w:themeColor="text1"/>
                <w:sz w:val="24"/>
                <w:szCs w:val="24"/>
              </w:rPr>
            </w:pPr>
          </w:p>
        </w:tc>
      </w:tr>
      <w:tr w:rsidR="00931359" w14:paraId="3AF6402F" w14:textId="77777777" w:rsidTr="007C5CC3">
        <w:trPr>
          <w:trHeight w:val="397"/>
        </w:trPr>
        <w:tc>
          <w:tcPr>
            <w:tcW w:w="8558" w:type="dxa"/>
            <w:gridSpan w:val="6"/>
            <w:tcBorders>
              <w:top w:val="single" w:sz="4" w:space="0" w:color="auto"/>
              <w:left w:val="nil"/>
              <w:bottom w:val="nil"/>
              <w:right w:val="nil"/>
            </w:tcBorders>
            <w:vAlign w:val="center"/>
          </w:tcPr>
          <w:p w14:paraId="3FA1BDAC" w14:textId="77777777" w:rsidR="00ED4759" w:rsidRPr="00816C6E" w:rsidRDefault="00D94758" w:rsidP="007C5CC3">
            <w:pPr>
              <w:snapToGrid w:val="0"/>
              <w:spacing w:after="0" w:line="240" w:lineRule="auto"/>
              <w:jc w:val="both"/>
              <w:rPr>
                <w:rFonts w:ascii="Times New Roman" w:hAnsi="Times New Roman" w:cs="Times New Roman"/>
                <w:color w:val="000000" w:themeColor="text1"/>
                <w:sz w:val="20"/>
                <w:szCs w:val="20"/>
              </w:rPr>
            </w:pPr>
            <w:r w:rsidRPr="00816C6E">
              <w:rPr>
                <w:rFonts w:ascii="Times New Roman" w:hAnsi="Times New Roman" w:cs="Times New Roman"/>
                <w:color w:val="000000" w:themeColor="text1"/>
                <w:sz w:val="20"/>
                <w:szCs w:val="20"/>
              </w:rPr>
              <w:t>Notes: *p &lt; 0.05; **p &lt; 0.01; ***p &lt; 0.001</w:t>
            </w:r>
          </w:p>
        </w:tc>
      </w:tr>
    </w:tbl>
    <w:p w14:paraId="1409169B" w14:textId="77777777" w:rsidR="00ED4759" w:rsidRPr="00AB0A90" w:rsidRDefault="00D94758" w:rsidP="007C5CC3">
      <w:pPr>
        <w:snapToGrid w:val="0"/>
        <w:spacing w:after="0" w:line="300" w:lineRule="auto"/>
        <w:jc w:val="both"/>
        <w:rPr>
          <w:rFonts w:ascii="Times New Roman" w:hAnsi="Times New Roman" w:cs="Times New Roman"/>
          <w:color w:val="000000" w:themeColor="text1"/>
          <w:sz w:val="24"/>
          <w:szCs w:val="24"/>
        </w:rPr>
      </w:pPr>
      <w:r w:rsidRPr="007C5CC3">
        <w:rPr>
          <w:rFonts w:ascii="Times New Roman" w:hAnsi="Times New Roman" w:cs="Times New Roman"/>
          <w:i/>
          <w:iCs/>
          <w:color w:val="000000" w:themeColor="text1"/>
          <w:sz w:val="24"/>
          <w:szCs w:val="24"/>
        </w:rPr>
        <w:t>Source</w:t>
      </w:r>
      <w:r w:rsidR="007C5CC3">
        <w:rPr>
          <w:rFonts w:ascii="Times New Roman" w:hAnsi="Times New Roman" w:cs="Times New Roman"/>
          <w:color w:val="000000" w:themeColor="text1"/>
          <w:sz w:val="24"/>
          <w:szCs w:val="24"/>
        </w:rPr>
        <w:t>.</w:t>
      </w:r>
      <w:r w:rsidRPr="00AB0A90">
        <w:rPr>
          <w:rFonts w:ascii="Times New Roman" w:hAnsi="Times New Roman" w:cs="Times New Roman"/>
          <w:color w:val="000000" w:themeColor="text1"/>
          <w:sz w:val="24"/>
          <w:szCs w:val="24"/>
        </w:rPr>
        <w:t xml:space="preserve"> Author’s Work</w:t>
      </w:r>
    </w:p>
    <w:p w14:paraId="3BB4EF62" w14:textId="77777777" w:rsidR="00ED4759" w:rsidRPr="00816C6E" w:rsidRDefault="00ED4759" w:rsidP="007C5CC3">
      <w:pPr>
        <w:snapToGrid w:val="0"/>
        <w:spacing w:after="0" w:line="300" w:lineRule="auto"/>
        <w:jc w:val="both"/>
        <w:rPr>
          <w:rFonts w:ascii="Times New Roman" w:hAnsi="Times New Roman" w:cs="Times New Roman"/>
          <w:color w:val="000000"/>
          <w:sz w:val="26"/>
          <w:szCs w:val="26"/>
        </w:rPr>
      </w:pPr>
    </w:p>
    <w:p w14:paraId="2750497C" w14:textId="77777777" w:rsidR="00ED4759" w:rsidRPr="00816C6E" w:rsidRDefault="00D94758" w:rsidP="00ED4759">
      <w:pPr>
        <w:spacing w:after="0" w:line="360" w:lineRule="exact"/>
        <w:ind w:firstLine="567"/>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Based on Table 4, the Q² values were 0.479 for brand engagement and 0.368 for brand equity, indicating positive predictive relevance of the structural model and</w:t>
      </w:r>
      <w:r w:rsidRPr="00816C6E">
        <w:rPr>
          <w:rFonts w:ascii="Times New Roman" w:hAnsi="Times New Roman" w:cs="Times New Roman"/>
          <w:color w:val="000000"/>
          <w:sz w:val="26"/>
          <w:szCs w:val="26"/>
        </w:rPr>
        <w:t xml:space="preserve"> </w:t>
      </w:r>
      <w:r w:rsidRPr="005E694C">
        <w:rPr>
          <w:rFonts w:ascii="Times New Roman" w:hAnsi="Times New Roman" w:cs="Times New Roman"/>
          <w:color w:val="000000"/>
          <w:sz w:val="26"/>
          <w:szCs w:val="26"/>
        </w:rPr>
        <w:t>demonstrating predictive relevance for both endogenous constructs.</w:t>
      </w:r>
      <w:r w:rsidRPr="00816C6E">
        <w:rPr>
          <w:rFonts w:ascii="Times New Roman" w:hAnsi="Times New Roman" w:cs="Times New Roman"/>
          <w:color w:val="000000"/>
          <w:sz w:val="26"/>
          <w:szCs w:val="26"/>
        </w:rPr>
        <w:t xml:space="preserve"> </w:t>
      </w:r>
      <w:r w:rsidRPr="005E694C">
        <w:rPr>
          <w:rFonts w:ascii="Times New Roman" w:hAnsi="Times New Roman" w:cs="Times New Roman"/>
          <w:color w:val="000000"/>
          <w:sz w:val="26"/>
          <w:szCs w:val="26"/>
        </w:rPr>
        <w:t>The results indicate that all three direct relationships are statistically significant. Brand experience has a positive and significant effect on brand equity (β = 0.591, p &lt; 0.001), supporting H1. Brand experience also has a positive and significant effect on brand engagement (β = 0.754, p &lt; 0.001), supporting H2. Furthermore, brand engagement has a positive and significant effect on brand equity (β = 0.392, p &lt; 0.001), supporting H3. Brand engagement mediated the relationship between brand experience and brand equity, as indicated by the significant indirect effect (p &lt; 0.001).</w:t>
      </w:r>
      <w:r w:rsidRPr="00816C6E">
        <w:rPr>
          <w:rFonts w:ascii="Times New Roman" w:hAnsi="Times New Roman" w:cs="Times New Roman"/>
          <w:color w:val="000000"/>
          <w:sz w:val="26"/>
          <w:szCs w:val="26"/>
        </w:rPr>
        <w:t xml:space="preserve"> </w:t>
      </w:r>
      <w:r w:rsidRPr="005E694C">
        <w:rPr>
          <w:rFonts w:ascii="Times New Roman" w:hAnsi="Times New Roman" w:cs="Times New Roman"/>
          <w:color w:val="000000"/>
          <w:sz w:val="26"/>
          <w:szCs w:val="26"/>
        </w:rPr>
        <w:t>The direct path coefficient from brand experience to brand equity was 0.591, while the indirect effect through brand engagement was 0.295. The VAF (Variance Accounted For), calculated as the ratio of the indirect effect to the total effect, was 0.333, indicating that approximately one-third of the effect of brand experience on brand equity is transmitted through brand engagement.</w:t>
      </w:r>
    </w:p>
    <w:p w14:paraId="4E1FED71" w14:textId="77777777" w:rsidR="00ED4759" w:rsidRPr="00816C6E" w:rsidRDefault="00ED4759" w:rsidP="00ED4759">
      <w:pPr>
        <w:spacing w:after="0" w:line="360" w:lineRule="exact"/>
        <w:jc w:val="both"/>
        <w:rPr>
          <w:rFonts w:ascii="Times New Roman" w:hAnsi="Times New Roman" w:cs="Times New Roman"/>
          <w:color w:val="000000"/>
          <w:sz w:val="26"/>
          <w:szCs w:val="26"/>
        </w:rPr>
      </w:pPr>
    </w:p>
    <w:p w14:paraId="39E4E842" w14:textId="77777777" w:rsidR="00ED4759" w:rsidRPr="00816C6E" w:rsidRDefault="00D94758" w:rsidP="00ED4759">
      <w:pPr>
        <w:spacing w:after="0" w:line="360" w:lineRule="exact"/>
        <w:jc w:val="center"/>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DISCUSSION</w:t>
      </w:r>
    </w:p>
    <w:p w14:paraId="1DAF0E82" w14:textId="77777777" w:rsidR="00ED4759" w:rsidRPr="00816C6E" w:rsidRDefault="00D94758" w:rsidP="00ED4759">
      <w:pPr>
        <w:spacing w:after="0" w:line="360" w:lineRule="exact"/>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Brand Experience and Brand Equity</w:t>
      </w:r>
    </w:p>
    <w:p w14:paraId="5FCC6598" w14:textId="77777777" w:rsidR="00ED4759" w:rsidRPr="00816C6E" w:rsidRDefault="00D94758" w:rsidP="00ED4759">
      <w:pPr>
        <w:spacing w:after="0" w:line="360" w:lineRule="exact"/>
        <w:ind w:firstLineChars="200" w:firstLine="520"/>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The significant positive effect of brand experience on brand equity (β = 0.591, p &lt; 0.001) indicates that consumers' experiences with a brand constitute an important basis for developing favorable evaluations of the brand among social commerce users in Indonesia.</w:t>
      </w:r>
      <w:r w:rsidRPr="00816C6E">
        <w:t xml:space="preserve"> </w:t>
      </w:r>
      <w:r w:rsidRPr="00816C6E">
        <w:rPr>
          <w:rFonts w:ascii="Times New Roman" w:hAnsi="Times New Roman" w:cs="Times New Roman"/>
          <w:color w:val="000000"/>
          <w:sz w:val="26"/>
          <w:szCs w:val="26"/>
        </w:rPr>
        <w:t xml:space="preserve">The results of this study strengthen those of previous studies by Sang and </w:t>
      </w:r>
      <w:proofErr w:type="spellStart"/>
      <w:r w:rsidRPr="00816C6E">
        <w:rPr>
          <w:rFonts w:ascii="Times New Roman" w:hAnsi="Times New Roman" w:cs="Times New Roman"/>
          <w:color w:val="000000"/>
          <w:sz w:val="26"/>
          <w:szCs w:val="26"/>
        </w:rPr>
        <w:t>Cuong</w:t>
      </w:r>
      <w:proofErr w:type="spellEnd"/>
      <w:r w:rsidRPr="00816C6E">
        <w:rPr>
          <w:rFonts w:ascii="Times New Roman" w:hAnsi="Times New Roman" w:cs="Times New Roman"/>
          <w:color w:val="000000"/>
          <w:sz w:val="26"/>
          <w:szCs w:val="26"/>
        </w:rPr>
        <w:t xml:space="preserve"> (202</w:t>
      </w:r>
      <w:r w:rsidR="00C251D6">
        <w:rPr>
          <w:rFonts w:ascii="Times New Roman" w:hAnsi="Times New Roman" w:cs="Times New Roman"/>
          <w:color w:val="000000"/>
          <w:sz w:val="26"/>
          <w:szCs w:val="26"/>
        </w:rPr>
        <w:t>5</w:t>
      </w:r>
      <w:r w:rsidRPr="00816C6E">
        <w:rPr>
          <w:rFonts w:ascii="Times New Roman" w:hAnsi="Times New Roman" w:cs="Times New Roman"/>
          <w:color w:val="000000"/>
          <w:sz w:val="26"/>
          <w:szCs w:val="26"/>
        </w:rPr>
        <w:t xml:space="preserve">) and Jeon and </w:t>
      </w:r>
      <w:proofErr w:type="spellStart"/>
      <w:r w:rsidRPr="00816C6E">
        <w:rPr>
          <w:rFonts w:ascii="Times New Roman" w:hAnsi="Times New Roman" w:cs="Times New Roman"/>
          <w:color w:val="000000"/>
          <w:sz w:val="26"/>
          <w:szCs w:val="26"/>
        </w:rPr>
        <w:t>Yoo</w:t>
      </w:r>
      <w:proofErr w:type="spellEnd"/>
      <w:r w:rsidRPr="00816C6E">
        <w:rPr>
          <w:rFonts w:ascii="Times New Roman" w:hAnsi="Times New Roman" w:cs="Times New Roman"/>
          <w:color w:val="000000"/>
          <w:sz w:val="26"/>
          <w:szCs w:val="26"/>
        </w:rPr>
        <w:t xml:space="preserve"> (2021), who also found that brand experience influences the formation of brand equity. The consistency of these findings confirms that brand experience acts as a sensory, affective, and cognitive stimulus that strengthens consumer perceptions of quality, brand associations, and loyalty—key components in building brand equity.</w:t>
      </w:r>
    </w:p>
    <w:p w14:paraId="3F62664A" w14:textId="77777777" w:rsidR="00ED4759" w:rsidRPr="00816C6E" w:rsidRDefault="00D94758" w:rsidP="00ED4759">
      <w:pPr>
        <w:spacing w:after="0" w:line="360" w:lineRule="exact"/>
        <w:ind w:firstLineChars="200" w:firstLine="520"/>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In the context of this research, these results expand the empirical evidence that brand experience is a strategic determinant of brand differentiation in increasingly competitive, information-rich markets. Positive brand experiences not only activate emotional responses but also strengthen consumers' rational evaluations of brands, as previous research has also demonstrated.</w:t>
      </w:r>
      <w:r w:rsidRPr="00816C6E">
        <w:t xml:space="preserve"> </w:t>
      </w:r>
      <w:r w:rsidRPr="005E694C">
        <w:rPr>
          <w:rFonts w:ascii="Times New Roman" w:hAnsi="Times New Roman" w:cs="Times New Roman"/>
          <w:color w:val="000000"/>
          <w:sz w:val="26"/>
          <w:szCs w:val="26"/>
        </w:rPr>
        <w:t>Thus, the result extends prior evidence by highlighting the relevance of brand experience as a strategic mechanism to strengthen brand equity in the context of social commerce in Indonesia.</w:t>
      </w:r>
    </w:p>
    <w:p w14:paraId="3CFAF834" w14:textId="77777777" w:rsidR="00ED4759" w:rsidRPr="00816C6E" w:rsidRDefault="00ED4759" w:rsidP="00ED4759">
      <w:pPr>
        <w:spacing w:after="0" w:line="360" w:lineRule="exact"/>
        <w:ind w:firstLineChars="200" w:firstLine="520"/>
        <w:jc w:val="both"/>
        <w:rPr>
          <w:rFonts w:ascii="Times New Roman" w:hAnsi="Times New Roman" w:cs="Times New Roman"/>
          <w:color w:val="000000"/>
          <w:sz w:val="26"/>
          <w:szCs w:val="26"/>
        </w:rPr>
      </w:pPr>
    </w:p>
    <w:p w14:paraId="0310BC22" w14:textId="77777777" w:rsidR="00ED4759" w:rsidRPr="00816C6E" w:rsidRDefault="00D94758" w:rsidP="00ED4759">
      <w:pPr>
        <w:spacing w:after="0" w:line="360" w:lineRule="exact"/>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Brand Experience and Brand Engagement</w:t>
      </w:r>
    </w:p>
    <w:p w14:paraId="340E24A4" w14:textId="77777777" w:rsidR="00ED4759" w:rsidRPr="00816C6E" w:rsidRDefault="00D94758" w:rsidP="00ED4759">
      <w:pPr>
        <w:spacing w:after="0" w:line="360" w:lineRule="exact"/>
        <w:ind w:firstLineChars="200" w:firstLine="520"/>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Brand Experience also demonstrated a positive and significant effect on brand engagement (β = 0.754, p &lt; 0.001), with a stronger coefficient than its direct effect on brand equity. This result suggests that experiential interactions may be particularly important in stimulating consumers' active involvement with brands in social commerce environments.</w:t>
      </w:r>
      <w:r w:rsidRPr="00816C6E">
        <w:rPr>
          <w:rFonts w:ascii="Times New Roman" w:hAnsi="Times New Roman" w:cs="Times New Roman"/>
          <w:color w:val="000000"/>
          <w:sz w:val="26"/>
          <w:szCs w:val="26"/>
        </w:rPr>
        <w:t xml:space="preserve"> These findings are consistent with those of Amin and Nika (2022), Prentice et al. (2019), and Yasin et al. (2019), who discovered that the brand experience dimension influences engagement in the studies conducted in India, Palestine, and Europe. These findings demonstrate that the positive sensory, affective, behavioral, and intellectual experiences the social commerce user has influence the levels of cognitive processing, affection, and activation, helping maintain high engagement among users and brands.  </w:t>
      </w:r>
    </w:p>
    <w:p w14:paraId="1DA07B94" w14:textId="77777777" w:rsidR="00ED4759" w:rsidRPr="00816C6E" w:rsidRDefault="00D94758" w:rsidP="00ED4759">
      <w:pPr>
        <w:spacing w:after="0" w:line="360" w:lineRule="exact"/>
        <w:ind w:firstLineChars="200" w:firstLine="520"/>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 xml:space="preserve">Nonetheless, these findings differ from those of </w:t>
      </w:r>
      <w:proofErr w:type="spellStart"/>
      <w:r w:rsidRPr="00816C6E">
        <w:rPr>
          <w:rFonts w:ascii="Times New Roman" w:hAnsi="Times New Roman" w:cs="Times New Roman"/>
          <w:color w:val="000000"/>
          <w:sz w:val="26"/>
          <w:szCs w:val="26"/>
        </w:rPr>
        <w:t>Merdiaty</w:t>
      </w:r>
      <w:proofErr w:type="spellEnd"/>
      <w:r w:rsidRPr="00816C6E">
        <w:rPr>
          <w:rFonts w:ascii="Times New Roman" w:hAnsi="Times New Roman" w:cs="Times New Roman"/>
          <w:color w:val="000000"/>
          <w:sz w:val="26"/>
          <w:szCs w:val="26"/>
        </w:rPr>
        <w:t xml:space="preserve"> and Aldrin’s (2022) study, which discovered that brand experience had no direct effect on brand equity. According to </w:t>
      </w:r>
      <w:proofErr w:type="spellStart"/>
      <w:r w:rsidRPr="00816C6E">
        <w:rPr>
          <w:rFonts w:ascii="Times New Roman" w:hAnsi="Times New Roman" w:cs="Times New Roman"/>
          <w:color w:val="000000"/>
          <w:sz w:val="26"/>
          <w:szCs w:val="26"/>
        </w:rPr>
        <w:t>Merdiaty</w:t>
      </w:r>
      <w:proofErr w:type="spellEnd"/>
      <w:r w:rsidRPr="00816C6E">
        <w:rPr>
          <w:rFonts w:ascii="Times New Roman" w:hAnsi="Times New Roman" w:cs="Times New Roman"/>
          <w:color w:val="000000"/>
          <w:sz w:val="26"/>
          <w:szCs w:val="26"/>
        </w:rPr>
        <w:t xml:space="preserve"> and Aldrin (2022), the influence of brand experience on new brand engagement is mediated by service quality. These differences may be attributed to differences in respondent characteristics between the research by </w:t>
      </w:r>
      <w:proofErr w:type="spellStart"/>
      <w:r w:rsidRPr="00816C6E">
        <w:rPr>
          <w:rFonts w:ascii="Times New Roman" w:hAnsi="Times New Roman" w:cs="Times New Roman"/>
          <w:color w:val="000000"/>
          <w:sz w:val="26"/>
          <w:szCs w:val="26"/>
        </w:rPr>
        <w:t>Merdiaty</w:t>
      </w:r>
      <w:proofErr w:type="spellEnd"/>
      <w:r w:rsidRPr="00816C6E">
        <w:rPr>
          <w:rFonts w:ascii="Times New Roman" w:hAnsi="Times New Roman" w:cs="Times New Roman"/>
          <w:color w:val="000000"/>
          <w:sz w:val="26"/>
          <w:szCs w:val="26"/>
        </w:rPr>
        <w:t xml:space="preserve"> </w:t>
      </w:r>
      <w:r w:rsidR="003E1376">
        <w:rPr>
          <w:rFonts w:ascii="Times New Roman" w:hAnsi="Times New Roman" w:cs="Times New Roman"/>
          <w:color w:val="000000"/>
          <w:sz w:val="26"/>
          <w:szCs w:val="26"/>
        </w:rPr>
        <w:t>and</w:t>
      </w:r>
      <w:r w:rsidR="003E1376" w:rsidRPr="00816C6E">
        <w:rPr>
          <w:rFonts w:ascii="Times New Roman" w:hAnsi="Times New Roman" w:cs="Times New Roman"/>
          <w:color w:val="000000"/>
          <w:sz w:val="26"/>
          <w:szCs w:val="26"/>
        </w:rPr>
        <w:t xml:space="preserve"> </w:t>
      </w:r>
      <w:r w:rsidRPr="00816C6E">
        <w:rPr>
          <w:rFonts w:ascii="Times New Roman" w:hAnsi="Times New Roman" w:cs="Times New Roman"/>
          <w:color w:val="000000"/>
          <w:sz w:val="26"/>
          <w:szCs w:val="26"/>
        </w:rPr>
        <w:t xml:space="preserve">Aldrin (2022) and this research. This research is dominated by social commerce users aged 18-24 who have been using it longer. At the same time, the characteristics of respondents in the research by </w:t>
      </w:r>
      <w:proofErr w:type="spellStart"/>
      <w:r w:rsidRPr="005E694C">
        <w:rPr>
          <w:rFonts w:ascii="Times New Roman" w:hAnsi="Times New Roman" w:cs="Times New Roman"/>
          <w:color w:val="000000"/>
          <w:sz w:val="26"/>
          <w:szCs w:val="26"/>
        </w:rPr>
        <w:t>Merdiaty</w:t>
      </w:r>
      <w:proofErr w:type="spellEnd"/>
      <w:r w:rsidRPr="005E694C">
        <w:rPr>
          <w:rFonts w:ascii="Times New Roman" w:hAnsi="Times New Roman" w:cs="Times New Roman"/>
          <w:color w:val="000000"/>
          <w:sz w:val="26"/>
          <w:szCs w:val="26"/>
        </w:rPr>
        <w:t xml:space="preserve"> </w:t>
      </w:r>
      <w:r w:rsidR="003E1376">
        <w:rPr>
          <w:rFonts w:ascii="Times New Roman" w:hAnsi="Times New Roman" w:cs="Times New Roman"/>
          <w:color w:val="000000"/>
          <w:sz w:val="26"/>
          <w:szCs w:val="26"/>
        </w:rPr>
        <w:t>and</w:t>
      </w:r>
      <w:r w:rsidR="003E1376" w:rsidRPr="005E694C">
        <w:rPr>
          <w:rFonts w:ascii="Times New Roman" w:hAnsi="Times New Roman" w:cs="Times New Roman"/>
          <w:color w:val="000000"/>
          <w:sz w:val="26"/>
          <w:szCs w:val="26"/>
        </w:rPr>
        <w:t xml:space="preserve"> </w:t>
      </w:r>
      <w:r w:rsidRPr="005E694C">
        <w:rPr>
          <w:rFonts w:ascii="Times New Roman" w:hAnsi="Times New Roman" w:cs="Times New Roman"/>
          <w:color w:val="000000"/>
          <w:sz w:val="26"/>
          <w:szCs w:val="26"/>
        </w:rPr>
        <w:t>Aldrin (2022)</w:t>
      </w:r>
      <w:r w:rsidRPr="00816C6E">
        <w:rPr>
          <w:rFonts w:ascii="Times New Roman" w:hAnsi="Times New Roman" w:cs="Times New Roman"/>
          <w:color w:val="000000"/>
          <w:sz w:val="26"/>
          <w:szCs w:val="26"/>
        </w:rPr>
        <w:t xml:space="preserve"> are dominated by those aged 23–30 who shop online. </w:t>
      </w:r>
    </w:p>
    <w:p w14:paraId="30B198A2" w14:textId="77777777" w:rsidR="00ED4759" w:rsidRPr="00816C6E" w:rsidRDefault="00D94758" w:rsidP="00ED4759">
      <w:pPr>
        <w:spacing w:after="0" w:line="360" w:lineRule="exact"/>
        <w:ind w:firstLineChars="200" w:firstLine="520"/>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Based on our findings, the more sensory, affective, behavioral, and intellectual elements a social commerce page can maintain, the higher the engagement level. The social commerce ecosystem enables an integrated consumer shopping experience across all purchase stages, from product selection to sales, on a single platform. Optimizing the consumer brand experience on social commerce platforms primarily involves delivering hedonic stimuli that engage senses, evoke thoughts and feelings, and prompt direct actions users can take within the platform.</w:t>
      </w:r>
    </w:p>
    <w:p w14:paraId="28395DB6" w14:textId="77777777" w:rsidR="00ED4759" w:rsidRPr="00816C6E" w:rsidRDefault="00ED4759" w:rsidP="00ED4759">
      <w:pPr>
        <w:spacing w:after="0" w:line="360" w:lineRule="exact"/>
        <w:jc w:val="both"/>
        <w:rPr>
          <w:rFonts w:ascii="Times New Roman" w:hAnsi="Times New Roman" w:cs="Times New Roman"/>
          <w:color w:val="000000"/>
          <w:sz w:val="26"/>
          <w:szCs w:val="26"/>
        </w:rPr>
      </w:pPr>
    </w:p>
    <w:p w14:paraId="3BCCE74F" w14:textId="77777777" w:rsidR="00ED4759" w:rsidRPr="00816C6E" w:rsidRDefault="00D94758" w:rsidP="00ED4759">
      <w:pPr>
        <w:spacing w:after="0" w:line="360" w:lineRule="exact"/>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Brand Engagement and Brand Equity</w:t>
      </w:r>
    </w:p>
    <w:p w14:paraId="3ED29385" w14:textId="77777777" w:rsidR="00ED4759" w:rsidRPr="00816C6E" w:rsidRDefault="00D94758" w:rsidP="00ED4759">
      <w:pPr>
        <w:spacing w:after="0" w:line="360" w:lineRule="exact"/>
        <w:ind w:firstLineChars="200" w:firstLine="520"/>
        <w:jc w:val="both"/>
        <w:rPr>
          <w:rFonts w:ascii="Times New Roman" w:hAnsi="Times New Roman" w:cs="Times New Roman"/>
          <w:color w:val="000000"/>
          <w:sz w:val="26"/>
          <w:szCs w:val="26"/>
        </w:rPr>
      </w:pPr>
      <w:r w:rsidRPr="005E694C">
        <w:rPr>
          <w:rFonts w:ascii="Times New Roman" w:hAnsi="Times New Roman" w:cs="Times New Roman"/>
          <w:color w:val="000000"/>
          <w:sz w:val="26"/>
          <w:szCs w:val="26"/>
        </w:rPr>
        <w:t>This study also found that brand engagement significantly enhances brand equity. The positive and significant effect of brand engagement on brand equity (β = 0.392, p &lt; 0.001) indicates that active consumer involvement with a brand is associated with stronger brand evaluations.</w:t>
      </w:r>
      <w:r w:rsidRPr="00816C6E">
        <w:rPr>
          <w:rFonts w:ascii="Times New Roman" w:hAnsi="Times New Roman" w:cs="Times New Roman"/>
          <w:color w:val="000000"/>
          <w:sz w:val="26"/>
          <w:szCs w:val="26"/>
        </w:rPr>
        <w:t xml:space="preserve"> These findings support the findings of Rather et al. (</w:t>
      </w:r>
      <w:r w:rsidR="003E1376">
        <w:rPr>
          <w:rFonts w:ascii="Times New Roman" w:hAnsi="Times New Roman" w:cs="Times New Roman"/>
          <w:color w:val="000000"/>
          <w:sz w:val="26"/>
          <w:szCs w:val="26"/>
        </w:rPr>
        <w:t>2024</w:t>
      </w:r>
      <w:r w:rsidRPr="00816C6E">
        <w:rPr>
          <w:rFonts w:ascii="Times New Roman" w:hAnsi="Times New Roman" w:cs="Times New Roman"/>
          <w:color w:val="000000"/>
          <w:sz w:val="26"/>
          <w:szCs w:val="26"/>
        </w:rPr>
        <w:t xml:space="preserve">), </w:t>
      </w:r>
      <w:proofErr w:type="spellStart"/>
      <w:r w:rsidRPr="00816C6E">
        <w:rPr>
          <w:rFonts w:ascii="Times New Roman" w:hAnsi="Times New Roman" w:cs="Times New Roman"/>
          <w:color w:val="000000"/>
          <w:sz w:val="26"/>
          <w:szCs w:val="26"/>
        </w:rPr>
        <w:t>Rungtrakulchai</w:t>
      </w:r>
      <w:proofErr w:type="spellEnd"/>
      <w:r w:rsidRPr="00816C6E">
        <w:rPr>
          <w:rFonts w:ascii="Times New Roman" w:hAnsi="Times New Roman" w:cs="Times New Roman"/>
          <w:color w:val="000000"/>
          <w:sz w:val="26"/>
          <w:szCs w:val="26"/>
        </w:rPr>
        <w:t xml:space="preserve"> (2022), Xi </w:t>
      </w:r>
      <w:r w:rsidR="004F0DBE">
        <w:rPr>
          <w:rFonts w:ascii="Times New Roman" w:hAnsi="Times New Roman" w:cs="Times New Roman" w:hint="eastAsia"/>
          <w:color w:val="000000"/>
          <w:sz w:val="26"/>
          <w:szCs w:val="26"/>
          <w:lang w:eastAsia="zh-TW"/>
        </w:rPr>
        <w:t>a</w:t>
      </w:r>
      <w:r w:rsidR="004F0DBE">
        <w:rPr>
          <w:rFonts w:ascii="Times New Roman" w:hAnsi="Times New Roman" w:cs="Times New Roman"/>
          <w:color w:val="000000"/>
          <w:sz w:val="26"/>
          <w:szCs w:val="26"/>
          <w:lang w:eastAsia="zh-TW"/>
        </w:rPr>
        <w:t>nd</w:t>
      </w:r>
      <w:r w:rsidRPr="00816C6E">
        <w:rPr>
          <w:rFonts w:ascii="Times New Roman" w:hAnsi="Times New Roman" w:cs="Times New Roman"/>
          <w:color w:val="000000"/>
          <w:sz w:val="26"/>
          <w:szCs w:val="26"/>
        </w:rPr>
        <w:t xml:space="preserve"> </w:t>
      </w:r>
      <w:proofErr w:type="spellStart"/>
      <w:r w:rsidRPr="00816C6E">
        <w:rPr>
          <w:rFonts w:ascii="Times New Roman" w:hAnsi="Times New Roman" w:cs="Times New Roman"/>
          <w:color w:val="000000"/>
          <w:sz w:val="26"/>
          <w:szCs w:val="26"/>
        </w:rPr>
        <w:t>Hamari</w:t>
      </w:r>
      <w:proofErr w:type="spellEnd"/>
      <w:r w:rsidRPr="00816C6E">
        <w:rPr>
          <w:rFonts w:ascii="Times New Roman" w:hAnsi="Times New Roman" w:cs="Times New Roman"/>
          <w:color w:val="000000"/>
          <w:sz w:val="26"/>
          <w:szCs w:val="26"/>
        </w:rPr>
        <w:t xml:space="preserve"> (2020), and </w:t>
      </w:r>
      <w:proofErr w:type="spellStart"/>
      <w:r w:rsidRPr="00816C6E">
        <w:rPr>
          <w:rFonts w:ascii="Times New Roman" w:hAnsi="Times New Roman" w:cs="Times New Roman"/>
          <w:color w:val="000000"/>
          <w:sz w:val="26"/>
          <w:szCs w:val="26"/>
        </w:rPr>
        <w:t>Meirani</w:t>
      </w:r>
      <w:proofErr w:type="spellEnd"/>
      <w:r w:rsidR="0028504B">
        <w:rPr>
          <w:rFonts w:ascii="Times New Roman" w:hAnsi="Times New Roman" w:cs="Times New Roman"/>
          <w:color w:val="000000"/>
          <w:sz w:val="26"/>
          <w:szCs w:val="26"/>
        </w:rPr>
        <w:t xml:space="preserve"> and</w:t>
      </w:r>
      <w:r w:rsidRPr="00816C6E">
        <w:rPr>
          <w:rFonts w:ascii="Times New Roman" w:hAnsi="Times New Roman" w:cs="Times New Roman"/>
          <w:color w:val="000000"/>
          <w:sz w:val="26"/>
          <w:szCs w:val="26"/>
        </w:rPr>
        <w:t xml:space="preserve"> </w:t>
      </w:r>
      <w:proofErr w:type="spellStart"/>
      <w:r w:rsidR="0028504B">
        <w:rPr>
          <w:rFonts w:ascii="Times New Roman" w:hAnsi="Times New Roman" w:cs="Times New Roman"/>
          <w:color w:val="000000"/>
          <w:sz w:val="26"/>
          <w:szCs w:val="26"/>
        </w:rPr>
        <w:t>Abror</w:t>
      </w:r>
      <w:proofErr w:type="spellEnd"/>
      <w:r w:rsidR="0028504B">
        <w:rPr>
          <w:rFonts w:ascii="Times New Roman" w:hAnsi="Times New Roman" w:cs="Times New Roman"/>
          <w:color w:val="000000"/>
          <w:sz w:val="26"/>
          <w:szCs w:val="26"/>
        </w:rPr>
        <w:t xml:space="preserve"> </w:t>
      </w:r>
      <w:r w:rsidRPr="00816C6E">
        <w:rPr>
          <w:rFonts w:ascii="Times New Roman" w:hAnsi="Times New Roman" w:cs="Times New Roman"/>
          <w:color w:val="000000"/>
          <w:sz w:val="26"/>
          <w:szCs w:val="26"/>
        </w:rPr>
        <w:t>(2019). These findings demonstrate that consumer engagement with a brand strengthens the growth of brand awareness, brand association, perceived quality, and brand loyalty. The more consumers are interested in, willing to interact with, and involved in the social commerce ecosystem through the website, the higher the perceived brand equity. Consumer engagement with a brand can be predicted by consumer involvement, participation, and self-expression, which ultimately relate to brand loyalty as one of the dimensions of brand equity (</w:t>
      </w:r>
      <w:proofErr w:type="spellStart"/>
      <w:r w:rsidRPr="00816C6E">
        <w:rPr>
          <w:rFonts w:ascii="Times New Roman" w:hAnsi="Times New Roman" w:cs="Times New Roman"/>
          <w:color w:val="000000"/>
          <w:sz w:val="26"/>
          <w:szCs w:val="26"/>
        </w:rPr>
        <w:t>Algharabat</w:t>
      </w:r>
      <w:proofErr w:type="spellEnd"/>
      <w:r w:rsidRPr="00816C6E">
        <w:rPr>
          <w:rFonts w:ascii="Times New Roman" w:hAnsi="Times New Roman" w:cs="Times New Roman"/>
          <w:color w:val="000000"/>
          <w:sz w:val="26"/>
          <w:szCs w:val="26"/>
        </w:rPr>
        <w:t xml:space="preserve"> et al., 2020). It is essential for brand owners who use social commerce as a marketing and sales channel to strive to engage and interact with their consumers in the digital ecosystem.</w:t>
      </w:r>
    </w:p>
    <w:p w14:paraId="2F723CA5" w14:textId="77777777" w:rsidR="00ED4759" w:rsidRPr="00816C6E" w:rsidRDefault="00ED4759" w:rsidP="00ED4759">
      <w:pPr>
        <w:spacing w:after="0" w:line="360" w:lineRule="exact"/>
        <w:ind w:firstLineChars="200" w:firstLine="520"/>
        <w:jc w:val="both"/>
        <w:rPr>
          <w:rFonts w:ascii="Times New Roman" w:hAnsi="Times New Roman" w:cs="Times New Roman"/>
          <w:color w:val="000000"/>
          <w:sz w:val="26"/>
          <w:szCs w:val="26"/>
        </w:rPr>
      </w:pPr>
    </w:p>
    <w:p w14:paraId="4C8D4BED" w14:textId="77777777" w:rsidR="00ED4759" w:rsidRPr="00816C6E" w:rsidRDefault="00D94758" w:rsidP="00ED4759">
      <w:pPr>
        <w:spacing w:after="0" w:line="360" w:lineRule="exact"/>
        <w:jc w:val="both"/>
        <w:rPr>
          <w:rFonts w:ascii="Times New Roman" w:hAnsi="Times New Roman" w:cs="Times New Roman"/>
          <w:b/>
          <w:bCs/>
          <w:color w:val="000000"/>
          <w:sz w:val="26"/>
          <w:szCs w:val="26"/>
        </w:rPr>
      </w:pPr>
      <w:r w:rsidRPr="00816C6E">
        <w:rPr>
          <w:rFonts w:ascii="Times New Roman" w:hAnsi="Times New Roman" w:cs="Times New Roman"/>
          <w:b/>
          <w:bCs/>
          <w:color w:val="000000"/>
          <w:sz w:val="26"/>
          <w:szCs w:val="26"/>
        </w:rPr>
        <w:t>Brand Engagement as a Mediating Mechanism</w:t>
      </w:r>
    </w:p>
    <w:p w14:paraId="63A68F99" w14:textId="77777777" w:rsidR="00ED4759" w:rsidRPr="00816C6E" w:rsidRDefault="00D94758" w:rsidP="00ED4759">
      <w:pPr>
        <w:spacing w:after="0" w:line="360" w:lineRule="exact"/>
        <w:ind w:firstLineChars="200" w:firstLine="520"/>
        <w:jc w:val="both"/>
        <w:rPr>
          <w:rFonts w:ascii="Times New Roman" w:hAnsi="Times New Roman" w:cs="Times New Roman"/>
          <w:color w:val="000000"/>
          <w:sz w:val="26"/>
          <w:szCs w:val="26"/>
        </w:rPr>
      </w:pPr>
      <w:r w:rsidRPr="00816C6E">
        <w:rPr>
          <w:rFonts w:ascii="Times New Roman" w:hAnsi="Times New Roman" w:cs="Times New Roman"/>
          <w:color w:val="000000"/>
          <w:sz w:val="26"/>
          <w:szCs w:val="26"/>
        </w:rPr>
        <w:t xml:space="preserve">The mediation analysis showed that the relationship between brand experience and brand equity was partially and significantly mediated by brand engagement. This study clarifies the differences between our study and </w:t>
      </w:r>
      <w:proofErr w:type="spellStart"/>
      <w:r w:rsidRPr="00816C6E">
        <w:rPr>
          <w:rFonts w:ascii="Times New Roman" w:hAnsi="Times New Roman" w:cs="Times New Roman"/>
          <w:color w:val="000000"/>
          <w:sz w:val="26"/>
          <w:szCs w:val="26"/>
        </w:rPr>
        <w:t>Sohaib</w:t>
      </w:r>
      <w:proofErr w:type="spellEnd"/>
      <w:r w:rsidRPr="00816C6E">
        <w:rPr>
          <w:rFonts w:ascii="Times New Roman" w:hAnsi="Times New Roman" w:cs="Times New Roman"/>
          <w:color w:val="000000"/>
          <w:sz w:val="26"/>
          <w:szCs w:val="26"/>
        </w:rPr>
        <w:t xml:space="preserve"> et al. (202</w:t>
      </w:r>
      <w:r w:rsidR="00C251D6">
        <w:rPr>
          <w:rFonts w:ascii="Times New Roman" w:hAnsi="Times New Roman" w:cs="Times New Roman"/>
          <w:color w:val="000000"/>
          <w:sz w:val="26"/>
          <w:szCs w:val="26"/>
        </w:rPr>
        <w:t>3</w:t>
      </w:r>
      <w:r w:rsidRPr="00816C6E">
        <w:rPr>
          <w:rFonts w:ascii="Times New Roman" w:hAnsi="Times New Roman" w:cs="Times New Roman"/>
          <w:color w:val="000000"/>
          <w:sz w:val="26"/>
          <w:szCs w:val="26"/>
        </w:rPr>
        <w:t xml:space="preserve">), which also examined engagement and brand equity. However, despite similarities in the variables used, neither study investigated them in the context of social commerce. This study addresses this gap by examining the mediating mechanisms of brand engagement among social commerce users in developing countries. This study's findings demonstrated the importance of brand engagement in mediating the relationship between brand experience and brand equity, and supported the theory of brand engagement. Brand engagement has been shown to </w:t>
      </w:r>
      <w:proofErr w:type="gramStart"/>
      <w:r w:rsidRPr="00816C6E">
        <w:rPr>
          <w:rFonts w:ascii="Times New Roman" w:hAnsi="Times New Roman" w:cs="Times New Roman"/>
          <w:color w:val="000000"/>
          <w:sz w:val="26"/>
          <w:szCs w:val="26"/>
        </w:rPr>
        <w:t>significantly and positively mediate the relationship</w:t>
      </w:r>
      <w:proofErr w:type="gramEnd"/>
      <w:r w:rsidRPr="00816C6E">
        <w:rPr>
          <w:rFonts w:ascii="Times New Roman" w:hAnsi="Times New Roman" w:cs="Times New Roman"/>
          <w:color w:val="000000"/>
          <w:sz w:val="26"/>
          <w:szCs w:val="26"/>
        </w:rPr>
        <w:t xml:space="preserve"> between brand experience and brand equity among consumers in developing countries who engage in social commerce. This finding is unique to this study and has not been reported in many previous studies. Based on these findings, marketers should consider fostering engagement after consumers have been stimulated by the brand experience to maximize consumer brand equity. </w:t>
      </w:r>
    </w:p>
    <w:p w14:paraId="07DFCBE2"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b/>
          <w:bCs/>
          <w:color w:val="000000" w:themeColor="text1"/>
          <w:sz w:val="26"/>
          <w:szCs w:val="26"/>
          <w:lang w:bidi="fa-IR"/>
        </w:rPr>
      </w:pPr>
      <w:r w:rsidRPr="00F77D83">
        <w:rPr>
          <w:rFonts w:ascii="Times New Roman" w:hAnsi="Times New Roman" w:cs="Times New Roman"/>
          <w:color w:val="000000"/>
          <w:sz w:val="26"/>
          <w:szCs w:val="26"/>
        </w:rPr>
        <w:t>Brodie et al. (2011)</w:t>
      </w:r>
      <w:r w:rsidRPr="00816C6E">
        <w:rPr>
          <w:rFonts w:ascii="Times New Roman" w:hAnsi="Times New Roman" w:cs="Times New Roman"/>
          <w:color w:val="000000"/>
          <w:sz w:val="26"/>
          <w:szCs w:val="26"/>
        </w:rPr>
        <w:t xml:space="preserve"> explained that customer engagement plays a key role in creating co-creation value and interactive experiences for businesses, and that these experiences are essential to creating consumer satisfaction, which ultimately has a positive impact on brand equity. These results indicate that brand marketing efforts should incorporate customer engagement elements and strategies to create a favorable brand experience on social media and maximize desired brand equity.</w:t>
      </w:r>
    </w:p>
    <w:p w14:paraId="2F9D54C6" w14:textId="77777777" w:rsidR="0057675D" w:rsidRPr="00816C6E" w:rsidRDefault="0057675D" w:rsidP="00821386">
      <w:pPr>
        <w:spacing w:after="0" w:line="360" w:lineRule="exact"/>
        <w:jc w:val="lowKashida"/>
        <w:rPr>
          <w:rFonts w:ascii="Times New Roman" w:hAnsi="Times New Roman" w:cs="Times New Roman"/>
          <w:b/>
          <w:bCs/>
          <w:color w:val="000000" w:themeColor="text1"/>
          <w:sz w:val="26"/>
          <w:szCs w:val="26"/>
          <w:lang w:bidi="fa-IR"/>
        </w:rPr>
      </w:pPr>
    </w:p>
    <w:p w14:paraId="41CA0832" w14:textId="77777777" w:rsidR="0057675D" w:rsidRPr="00816C6E" w:rsidRDefault="00D94758" w:rsidP="00821386">
      <w:pPr>
        <w:spacing w:after="0" w:line="360" w:lineRule="exact"/>
        <w:jc w:val="center"/>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t>CONCLUSIONS</w:t>
      </w:r>
    </w:p>
    <w:p w14:paraId="7EA93EF3"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F77D83">
        <w:rPr>
          <w:rFonts w:ascii="Times New Roman" w:hAnsi="Times New Roman" w:cs="Times New Roman"/>
          <w:color w:val="000000" w:themeColor="text1"/>
          <w:sz w:val="26"/>
          <w:szCs w:val="26"/>
          <w:lang w:bidi="fa-IR"/>
        </w:rPr>
        <w:t>This study examined the relationships among brand experience, brand engagement, and brand equity and tested four hypotheses concerning their direct and indirect relationships. Overall, the findings provide support for all proposed hypotheses. Specifically, H1 is supported, indicating that brand experience has a positive and significant effect on brand equity. H2 is supported, demonstrating that brand experience positively influences brand engagement. H3 is also supported, showing that brand engagement has a positive and significant effect on brand equity. Finally, H4 is supported, indicating that brand engagement significantly mediates the relationship between brand experience and brand equity.</w:t>
      </w:r>
      <w:r w:rsidRPr="00816C6E">
        <w:rPr>
          <w:rFonts w:ascii="Times New Roman" w:hAnsi="Times New Roman" w:cs="Times New Roman"/>
          <w:color w:val="000000" w:themeColor="text1"/>
          <w:sz w:val="26"/>
          <w:szCs w:val="26"/>
          <w:lang w:bidi="fa-IR"/>
        </w:rPr>
        <w:t xml:space="preserve"> </w:t>
      </w:r>
    </w:p>
    <w:p w14:paraId="3DE0F9D9"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The findings of this study enrich the empirical literature on brand equity and its relationships with brand experience and brand engagement, which remains limited compared to other marketing studies. This study also provides the most recent findings on the role of brand engagement in mediating the relationship between brand experience and brand equity. This topic has received little attention in previous studies, particularly in the context of social commerce in developing countries.</w:t>
      </w:r>
    </w:p>
    <w:p w14:paraId="7ADDC030" w14:textId="77777777" w:rsidR="00ED4759" w:rsidRPr="00816C6E" w:rsidRDefault="00ED4759"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2822E0C8" w14:textId="77777777" w:rsidR="00ED4759" w:rsidRPr="00816C6E" w:rsidRDefault="00D94758" w:rsidP="0037255E">
      <w:pPr>
        <w:overflowPunct w:val="0"/>
        <w:spacing w:after="0" w:line="360" w:lineRule="exact"/>
        <w:jc w:val="both"/>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t>Theoretical Contributions</w:t>
      </w:r>
    </w:p>
    <w:p w14:paraId="5D162F7F"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 xml:space="preserve">This research contributes to theoretical branding studies by offering empirical evidence on the integration of brand experience, brand engagement, and brand equity in the context of social commerce in a developing country, where such research remains limited. By validating this model in Indonesia's online commerce, </w:t>
      </w:r>
      <w:r w:rsidRPr="00F77D83">
        <w:rPr>
          <w:rFonts w:ascii="Times New Roman" w:hAnsi="Times New Roman" w:cs="Times New Roman"/>
          <w:color w:val="000000" w:themeColor="text1"/>
          <w:sz w:val="26"/>
          <w:szCs w:val="26"/>
          <w:lang w:bidi="fa-IR"/>
        </w:rPr>
        <w:t>this study provides empirical evidence relevant to social commerce.</w:t>
      </w:r>
      <w:r w:rsidRPr="00816C6E">
        <w:rPr>
          <w:rFonts w:ascii="Times New Roman" w:hAnsi="Times New Roman" w:cs="Times New Roman"/>
          <w:color w:val="000000" w:themeColor="text1"/>
          <w:sz w:val="26"/>
          <w:szCs w:val="26"/>
          <w:lang w:bidi="fa-IR"/>
        </w:rPr>
        <w:t xml:space="preserve"> It enriches the current understanding of the role of brand experience stimuli in developing theoretical perspectives on digital brand engagement and the formation of consumer-based brand equity in socially interactive online environments. </w:t>
      </w:r>
    </w:p>
    <w:p w14:paraId="372908FC"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The findings of this study can be used by academics researching brand equity and engagement to provide empirical support for their studies. For practitioners, the findings of this study have contributed to the understanding that consumers' sensory, affective, behavioral, intellectual, and engagement experiences can influence their perceptions of brand awareness, brand association, perceived quality, and brand loyalty.</w:t>
      </w:r>
    </w:p>
    <w:p w14:paraId="3C4A69F6" w14:textId="77777777" w:rsidR="00ED4759" w:rsidRPr="00816C6E" w:rsidRDefault="00ED4759"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0DCFE7F9" w14:textId="77777777" w:rsidR="00ED4759" w:rsidRPr="00816C6E" w:rsidRDefault="00D94758" w:rsidP="0037255E">
      <w:pPr>
        <w:overflowPunct w:val="0"/>
        <w:spacing w:after="0" w:line="360" w:lineRule="exact"/>
        <w:jc w:val="both"/>
        <w:rPr>
          <w:rFonts w:ascii="Times New Roman" w:hAnsi="Times New Roman" w:cs="Times New Roman"/>
          <w:b/>
          <w:bCs/>
          <w:color w:val="000000" w:themeColor="text1"/>
          <w:sz w:val="26"/>
          <w:szCs w:val="26"/>
          <w:lang w:bidi="fa-IR"/>
        </w:rPr>
      </w:pPr>
      <w:r w:rsidRPr="00816C6E">
        <w:rPr>
          <w:rFonts w:ascii="Times New Roman" w:hAnsi="Times New Roman" w:cs="Times New Roman"/>
          <w:b/>
          <w:bCs/>
          <w:color w:val="000000" w:themeColor="text1"/>
          <w:sz w:val="26"/>
          <w:szCs w:val="26"/>
          <w:lang w:bidi="fa-IR"/>
        </w:rPr>
        <w:t>Managerial Implications</w:t>
      </w:r>
    </w:p>
    <w:p w14:paraId="7C02FA9E"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The findings offer several practical insights for managers operating in social commerce environments. First, the study found a significant influence of brand experience on brand engagement and brand equity. These results underscore the need for companies to design comprehensive experience strategies that stimulate consumers’ sensory, affective, behavioral, and intellectual responses. Marketing managers can continually strive to improve the quality of visual and interactive elements in digital storefronts, use emotionally resonant narratives, and incorporate features such as live-streamed demonstrations or gamified interactions to create more immersive brand experiences.</w:t>
      </w:r>
    </w:p>
    <w:p w14:paraId="19558453"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Second, the study confirmed the partial mediating role of brand engagement, suggesting that engagement is an essential mechanism by which brand experience contributes to brand equity. Therefore, marketing managers can adopt content strategies that foster consumer engagement and encourage active participation in social commerce. These efforts can include facilitating user-generated content, fostering online brand communities, and leveraging social commerce functionality that allows consumers to interact with brands and other users in real time.</w:t>
      </w:r>
    </w:p>
    <w:p w14:paraId="00C220A0" w14:textId="77777777" w:rsidR="00ED4759"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Third, this study’s findings highlight the importance of implementing engagement-centered relationship management to strengthen key dimensions of brand equity, including brand awareness, brand associations, perceived quality, and brand loyalty. Marketing managers can design loyalty programs and value propositions that reward engagement and foster long-term relationships with consumers. Personalized communications and tailored content based on engagement patterns can further enhance perceived brand relevance and attachment.</w:t>
      </w:r>
    </w:p>
    <w:p w14:paraId="326A3DA4" w14:textId="77777777" w:rsidR="0057675D" w:rsidRPr="00816C6E" w:rsidRDefault="00D94758"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themeColor="text1"/>
          <w:sz w:val="26"/>
          <w:szCs w:val="26"/>
          <w:lang w:bidi="fa-IR"/>
        </w:rPr>
        <w:t>Finally, because this study was conducted in an emerging-market context, marketing managers need to consider the unique cultural, technological, and behavioral characteristics of these markets. Localized content strategies, mobile-first design, and collaboration with micro-influencers may be particularly effective in increasing consumer engagement and strengthening equity-building experiences. Collectively, these implications provide actionable guidance for practitioners seeking to leverage social commerce platforms to enhance engagement and develop sustainable brand equity.</w:t>
      </w:r>
    </w:p>
    <w:p w14:paraId="30CB9A2A" w14:textId="77777777" w:rsidR="00E01171" w:rsidRPr="00816C6E" w:rsidRDefault="00E01171" w:rsidP="00ED475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0DE61D95" w14:textId="77777777" w:rsidR="00E01171" w:rsidRPr="00816C6E" w:rsidRDefault="00D94758" w:rsidP="00E01171">
      <w:pPr>
        <w:spacing w:after="0" w:line="360" w:lineRule="exact"/>
        <w:jc w:val="both"/>
        <w:rPr>
          <w:rFonts w:ascii="Times New Roman" w:hAnsi="Times New Roman" w:cs="Times New Roman"/>
          <w:b/>
          <w:bCs/>
          <w:color w:val="000000"/>
          <w:sz w:val="26"/>
          <w:szCs w:val="26"/>
        </w:rPr>
      </w:pPr>
      <w:bookmarkStart w:id="0" w:name="_Hlk103694803"/>
      <w:r w:rsidRPr="00816C6E">
        <w:rPr>
          <w:rFonts w:ascii="Times New Roman" w:hAnsi="Times New Roman" w:cs="Times New Roman"/>
          <w:b/>
          <w:bCs/>
          <w:color w:val="000000"/>
          <w:sz w:val="26"/>
          <w:szCs w:val="26"/>
        </w:rPr>
        <w:t>Limitations and Future Research</w:t>
      </w:r>
    </w:p>
    <w:bookmarkEnd w:id="0"/>
    <w:p w14:paraId="50099091" w14:textId="77777777" w:rsidR="00E01171" w:rsidRPr="00816C6E" w:rsidRDefault="00D94758" w:rsidP="00E01171">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16C6E">
        <w:rPr>
          <w:rFonts w:ascii="Times New Roman" w:hAnsi="Times New Roman" w:cs="Times New Roman"/>
          <w:color w:val="000000"/>
          <w:sz w:val="26"/>
          <w:szCs w:val="26"/>
        </w:rPr>
        <w:t xml:space="preserve">Although this research has made a significant contribution to the literature and practical studies, it still has limitations that future research will address. </w:t>
      </w:r>
      <w:r w:rsidRPr="00F77D83">
        <w:rPr>
          <w:rFonts w:ascii="Times New Roman" w:hAnsi="Times New Roman" w:cs="Times New Roman"/>
          <w:color w:val="000000"/>
          <w:sz w:val="26"/>
          <w:szCs w:val="26"/>
        </w:rPr>
        <w:t xml:space="preserve">First, future research could extend the model by incorporating constructs such as brand love and brand satisfaction to provide a more comprehensive explanation of brand equity. Second, the HTMT results indicated potential empirical overlap between brand equity and brand experience, as well as between brand equity and brand engagement. However, brand experience and brand engagement remained below the 0.90 threshold. Future research could refine the measurement items and conduct additional assessments of discriminant validity to further establish construct distinctiveness. Third, the use of non-probability purposive sampling limits the generalizability of the findings to the broader population of social commerce users. Future studies could employ probability-based sampling or replicate the model across different consumer segments. Finally, </w:t>
      </w:r>
      <w:proofErr w:type="gramStart"/>
      <w:r w:rsidRPr="00F77D83">
        <w:rPr>
          <w:rFonts w:ascii="Times New Roman" w:hAnsi="Times New Roman" w:cs="Times New Roman"/>
          <w:color w:val="000000"/>
          <w:sz w:val="26"/>
          <w:szCs w:val="26"/>
        </w:rPr>
        <w:t>qualitative</w:t>
      </w:r>
      <w:proofErr w:type="gramEnd"/>
      <w:r w:rsidRPr="00F77D83">
        <w:rPr>
          <w:rFonts w:ascii="Times New Roman" w:hAnsi="Times New Roman" w:cs="Times New Roman"/>
          <w:color w:val="000000"/>
          <w:sz w:val="26"/>
          <w:szCs w:val="26"/>
        </w:rPr>
        <w:t xml:space="preserve"> or mixed-method approaches could complement the quantitative findings by providing deeper insights into how consumers experience, engage with, and evaluate brands in social commerce environments.</w:t>
      </w:r>
    </w:p>
    <w:p w14:paraId="19FBEC0C" w14:textId="77777777" w:rsidR="000E0A44" w:rsidRPr="00816C6E" w:rsidRDefault="000E0A44"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709B5096" w14:textId="77777777" w:rsidR="0057675D" w:rsidRPr="00816C6E" w:rsidRDefault="00D94758" w:rsidP="00821386">
      <w:pPr>
        <w:spacing w:after="0" w:line="360" w:lineRule="exact"/>
        <w:rPr>
          <w:rFonts w:ascii="Times New Roman" w:eastAsia="Calibri" w:hAnsi="Times New Roman" w:cs="Times New Roman"/>
          <w:color w:val="000000" w:themeColor="text1"/>
          <w:sz w:val="26"/>
          <w:szCs w:val="26"/>
          <w:lang w:bidi="fa-IR"/>
        </w:rPr>
      </w:pPr>
      <w:r w:rsidRPr="00816C6E">
        <w:rPr>
          <w:rFonts w:ascii="Times New Roman" w:eastAsia="Calibri" w:hAnsi="Times New Roman" w:cs="Times New Roman"/>
          <w:b/>
          <w:bCs/>
          <w:color w:val="000000" w:themeColor="text1"/>
          <w:sz w:val="26"/>
          <w:szCs w:val="26"/>
          <w:lang w:bidi="fa-IR"/>
        </w:rPr>
        <w:t>Funding:</w:t>
      </w:r>
      <w:r w:rsidRPr="00816C6E">
        <w:rPr>
          <w:rFonts w:ascii="Times New Roman" w:eastAsia="Calibri" w:hAnsi="Times New Roman" w:cs="Times New Roman"/>
          <w:color w:val="000000" w:themeColor="text1"/>
          <w:sz w:val="26"/>
          <w:szCs w:val="26"/>
          <w:lang w:bidi="fa-IR"/>
        </w:rPr>
        <w:t xml:space="preserve"> </w:t>
      </w:r>
      <w:r w:rsidR="00E01171" w:rsidRPr="00816C6E">
        <w:rPr>
          <w:rFonts w:ascii="Times New Roman" w:eastAsia="Calibri" w:hAnsi="Times New Roman" w:cs="Times New Roman"/>
          <w:color w:val="000000" w:themeColor="text1"/>
          <w:sz w:val="26"/>
          <w:szCs w:val="26"/>
          <w:lang w:bidi="fa-IR"/>
        </w:rPr>
        <w:t>The Directorate of Research and Community Service of Telkom University supported this work</w:t>
      </w:r>
      <w:r w:rsidRPr="00816C6E">
        <w:rPr>
          <w:rFonts w:ascii="Times New Roman" w:eastAsia="Calibri" w:hAnsi="Times New Roman" w:cs="Times New Roman"/>
          <w:color w:val="000000" w:themeColor="text1"/>
          <w:sz w:val="26"/>
          <w:szCs w:val="26"/>
          <w:lang w:bidi="fa-IR"/>
        </w:rPr>
        <w:t>.</w:t>
      </w:r>
    </w:p>
    <w:p w14:paraId="116F8E98" w14:textId="77777777" w:rsidR="000E0A44" w:rsidRPr="00816C6E" w:rsidRDefault="000E0A44" w:rsidP="00821386">
      <w:pPr>
        <w:spacing w:after="0" w:line="360" w:lineRule="exact"/>
        <w:rPr>
          <w:rFonts w:ascii="Times New Roman" w:eastAsia="Calibri" w:hAnsi="Times New Roman" w:cs="Times New Roman"/>
          <w:color w:val="000000" w:themeColor="text1"/>
          <w:sz w:val="26"/>
          <w:szCs w:val="26"/>
          <w:lang w:bidi="fa-IR"/>
        </w:rPr>
      </w:pPr>
    </w:p>
    <w:p w14:paraId="7FBE19AF" w14:textId="77777777" w:rsidR="0057675D" w:rsidRPr="00816C6E" w:rsidRDefault="00D94758" w:rsidP="00627EE6">
      <w:pPr>
        <w:tabs>
          <w:tab w:val="left" w:pos="1560"/>
        </w:tabs>
        <w:spacing w:after="0" w:line="360" w:lineRule="exact"/>
        <w:rPr>
          <w:rFonts w:ascii="Times New Roman" w:eastAsia="Calibri" w:hAnsi="Times New Roman" w:cs="Times New Roman"/>
          <w:color w:val="000000" w:themeColor="text1"/>
          <w:sz w:val="26"/>
          <w:szCs w:val="26"/>
          <w:lang w:bidi="fa-IR"/>
        </w:rPr>
      </w:pPr>
      <w:r w:rsidRPr="00816C6E">
        <w:rPr>
          <w:rFonts w:ascii="Times New Roman" w:eastAsia="Calibri" w:hAnsi="Times New Roman" w:cs="Times New Roman"/>
          <w:b/>
          <w:bCs/>
          <w:color w:val="000000" w:themeColor="text1"/>
          <w:sz w:val="26"/>
          <w:szCs w:val="26"/>
          <w:lang w:bidi="fa-IR"/>
        </w:rPr>
        <w:t>Disclosure statement:</w:t>
      </w:r>
      <w:r w:rsidRPr="00816C6E">
        <w:rPr>
          <w:rFonts w:ascii="Times New Roman" w:eastAsia="Calibri" w:hAnsi="Times New Roman" w:cs="Times New Roman"/>
          <w:color w:val="000000" w:themeColor="text1"/>
          <w:sz w:val="26"/>
          <w:szCs w:val="26"/>
          <w:lang w:bidi="fa-IR"/>
        </w:rPr>
        <w:t xml:space="preserve"> The author has declared no conflicts of interest.</w:t>
      </w:r>
    </w:p>
    <w:p w14:paraId="3AEC3ED1" w14:textId="77777777" w:rsidR="003C568D" w:rsidRPr="00816C6E" w:rsidRDefault="003C568D" w:rsidP="00821386">
      <w:pPr>
        <w:spacing w:after="0" w:line="360" w:lineRule="exact"/>
        <w:rPr>
          <w:rFonts w:ascii="Times New Roman" w:eastAsia="Calibri" w:hAnsi="Times New Roman" w:cs="Times New Roman"/>
          <w:color w:val="000000" w:themeColor="text1"/>
          <w:sz w:val="26"/>
          <w:szCs w:val="26"/>
          <w:lang w:bidi="fa-IR"/>
        </w:rPr>
      </w:pPr>
    </w:p>
    <w:p w14:paraId="1432B5AA" w14:textId="77777777" w:rsidR="0057675D" w:rsidRPr="00816C6E" w:rsidRDefault="00D94758" w:rsidP="00A930A8">
      <w:pPr>
        <w:spacing w:after="0" w:line="360" w:lineRule="exact"/>
        <w:jc w:val="center"/>
        <w:rPr>
          <w:rFonts w:ascii="Times New Roman" w:hAnsi="Times New Roman" w:cs="Times New Roman"/>
          <w:b/>
          <w:bCs/>
          <w:color w:val="000000" w:themeColor="text1"/>
          <w:sz w:val="26"/>
          <w:szCs w:val="26"/>
          <w:lang w:val="es-ES" w:bidi="fa-IR"/>
        </w:rPr>
      </w:pPr>
      <w:r w:rsidRPr="00816C6E">
        <w:rPr>
          <w:rFonts w:ascii="Times New Roman" w:hAnsi="Times New Roman" w:cs="Times New Roman"/>
          <w:b/>
          <w:bCs/>
          <w:color w:val="000000" w:themeColor="text1"/>
          <w:sz w:val="26"/>
          <w:szCs w:val="26"/>
          <w:lang w:val="es-ES" w:bidi="fa-IR"/>
        </w:rPr>
        <w:t>REFERENCE</w:t>
      </w:r>
      <w:r w:rsidRPr="00816C6E">
        <w:rPr>
          <w:rFonts w:ascii="Times New Roman" w:hAnsi="Times New Roman" w:cs="Times New Roman"/>
          <w:b/>
          <w:bCs/>
          <w:color w:val="000000" w:themeColor="text1"/>
          <w:sz w:val="26"/>
          <w:szCs w:val="26"/>
          <w:lang w:val="es-ES" w:eastAsia="zh-TW" w:bidi="fa-IR"/>
        </w:rPr>
        <w:t>S</w:t>
      </w:r>
    </w:p>
    <w:p w14:paraId="786FF726"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Aaker, D. A. (1992). The value of brand equity. </w:t>
      </w:r>
      <w:r w:rsidRPr="00816C6E">
        <w:rPr>
          <w:rFonts w:ascii="Times New Roman" w:hAnsi="Times New Roman" w:cs="Times New Roman"/>
          <w:i/>
          <w:iCs/>
          <w:sz w:val="26"/>
          <w:szCs w:val="26"/>
        </w:rPr>
        <w:t>Journal of Business Strategy, 13</w:t>
      </w:r>
      <w:r w:rsidRPr="00816C6E">
        <w:rPr>
          <w:rFonts w:ascii="Times New Roman" w:hAnsi="Times New Roman" w:cs="Times New Roman"/>
          <w:sz w:val="26"/>
          <w:szCs w:val="26"/>
          <w:lang w:eastAsia="zh-TW"/>
        </w:rPr>
        <w:t>(</w:t>
      </w:r>
      <w:r w:rsidRPr="00816C6E">
        <w:rPr>
          <w:rFonts w:ascii="Times New Roman" w:hAnsi="Times New Roman" w:cs="Times New Roman"/>
          <w:sz w:val="26"/>
          <w:szCs w:val="26"/>
        </w:rPr>
        <w:t>4</w:t>
      </w:r>
      <w:r w:rsidRPr="00816C6E">
        <w:rPr>
          <w:rFonts w:ascii="Times New Roman" w:hAnsi="Times New Roman" w:cs="Times New Roman"/>
          <w:sz w:val="26"/>
          <w:szCs w:val="26"/>
          <w:lang w:eastAsia="zh-TW"/>
        </w:rPr>
        <w:t>)</w:t>
      </w:r>
      <w:r w:rsidRPr="00816C6E">
        <w:rPr>
          <w:rFonts w:ascii="Times New Roman" w:hAnsi="Times New Roman" w:cs="Times New Roman"/>
          <w:sz w:val="26"/>
          <w:szCs w:val="26"/>
        </w:rPr>
        <w:t>, 27–32. https://doi.org/10.1108/eb039503</w:t>
      </w:r>
    </w:p>
    <w:p w14:paraId="7A695613"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Adelson, J.</w:t>
      </w:r>
      <w:r w:rsidRPr="00816C6E">
        <w:rPr>
          <w:rFonts w:ascii="Times New Roman" w:hAnsi="Times New Roman" w:cs="Times New Roman"/>
          <w:sz w:val="26"/>
          <w:szCs w:val="26"/>
          <w:lang w:eastAsia="zh-TW"/>
        </w:rPr>
        <w:t xml:space="preserve"> L.</w:t>
      </w:r>
      <w:r w:rsidRPr="00816C6E">
        <w:rPr>
          <w:rFonts w:ascii="Times New Roman" w:hAnsi="Times New Roman" w:cs="Times New Roman"/>
          <w:sz w:val="26"/>
          <w:szCs w:val="26"/>
        </w:rPr>
        <w:t xml:space="preserve">, &amp; McCoach, D. B. (2010). Measuring the mathematical attitudes of elementary students: The effects of a 4-point or 5-point Likert-type scale. </w:t>
      </w:r>
      <w:r w:rsidRPr="00816C6E">
        <w:rPr>
          <w:rFonts w:ascii="Times New Roman" w:hAnsi="Times New Roman" w:cs="Times New Roman"/>
          <w:i/>
          <w:iCs/>
          <w:sz w:val="26"/>
          <w:szCs w:val="26"/>
        </w:rPr>
        <w:t>Educational and Psychological Measurement, 70</w:t>
      </w:r>
      <w:r w:rsidRPr="00816C6E">
        <w:rPr>
          <w:rFonts w:ascii="Times New Roman" w:hAnsi="Times New Roman" w:cs="Times New Roman"/>
          <w:sz w:val="26"/>
          <w:szCs w:val="26"/>
        </w:rPr>
        <w:t>(5), 796–807. https://doi.org/10.1177/0013164410366694</w:t>
      </w:r>
    </w:p>
    <w:p w14:paraId="36181F0C"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Alam, S.</w:t>
      </w:r>
      <w:r>
        <w:rPr>
          <w:rFonts w:ascii="Times New Roman" w:hAnsi="Times New Roman" w:cs="Times New Roman"/>
          <w:sz w:val="26"/>
          <w:szCs w:val="26"/>
        </w:rPr>
        <w:t xml:space="preserve"> H.</w:t>
      </w:r>
      <w:r w:rsidRPr="00816C6E">
        <w:rPr>
          <w:rFonts w:ascii="Times New Roman" w:hAnsi="Times New Roman" w:cs="Times New Roman"/>
          <w:sz w:val="26"/>
          <w:szCs w:val="26"/>
        </w:rPr>
        <w:t>, Zaman, S.</w:t>
      </w:r>
      <w:r>
        <w:rPr>
          <w:rFonts w:ascii="Times New Roman" w:hAnsi="Times New Roman" w:cs="Times New Roman"/>
          <w:sz w:val="26"/>
          <w:szCs w:val="26"/>
        </w:rPr>
        <w:t xml:space="preserve"> U.</w:t>
      </w:r>
      <w:r w:rsidRPr="00816C6E">
        <w:rPr>
          <w:rFonts w:ascii="Times New Roman" w:hAnsi="Times New Roman" w:cs="Times New Roman"/>
          <w:sz w:val="26"/>
          <w:szCs w:val="26"/>
        </w:rPr>
        <w:t xml:space="preserve">, &amp; Rajput, A. </w:t>
      </w:r>
      <w:r>
        <w:rPr>
          <w:rFonts w:ascii="Times New Roman" w:hAnsi="Times New Roman" w:cs="Times New Roman"/>
          <w:sz w:val="26"/>
          <w:szCs w:val="26"/>
        </w:rPr>
        <w:t xml:space="preserve">M. </w:t>
      </w:r>
      <w:r w:rsidRPr="00816C6E">
        <w:rPr>
          <w:rFonts w:ascii="Times New Roman" w:hAnsi="Times New Roman" w:cs="Times New Roman"/>
          <w:sz w:val="26"/>
          <w:szCs w:val="26"/>
        </w:rPr>
        <w:t xml:space="preserve">(2025). From happy customers to brand advocates: The power of satisfaction. </w:t>
      </w:r>
      <w:r w:rsidRPr="00816C6E">
        <w:rPr>
          <w:rFonts w:ascii="Times New Roman" w:hAnsi="Times New Roman" w:cs="Times New Roman"/>
          <w:i/>
          <w:iCs/>
          <w:sz w:val="26"/>
          <w:szCs w:val="26"/>
        </w:rPr>
        <w:t>Pakistan Journal of Humanities and Social Sciences, 13</w:t>
      </w:r>
      <w:r w:rsidRPr="00816C6E">
        <w:rPr>
          <w:rFonts w:ascii="Times New Roman" w:hAnsi="Times New Roman" w:cs="Times New Roman"/>
          <w:sz w:val="26"/>
          <w:szCs w:val="26"/>
        </w:rPr>
        <w:t>(1), 283–294. https://doi.org/10.52131/pjhss.2025.v13i1.2712</w:t>
      </w:r>
    </w:p>
    <w:p w14:paraId="566BEAD9"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Algharabat, R., Rana, N., Alalwan, A., Baabdullah, A., &amp; Gupta, A. (2020). Investigating the antecedents of customer brand engagement and consumer-based brand equity in social media. </w:t>
      </w:r>
      <w:r w:rsidRPr="00816C6E">
        <w:rPr>
          <w:rFonts w:ascii="Times New Roman" w:hAnsi="Times New Roman" w:cs="Times New Roman"/>
          <w:i/>
          <w:iCs/>
          <w:sz w:val="26"/>
          <w:szCs w:val="26"/>
        </w:rPr>
        <w:t>Journal of Retailing and Consumer Services, 53</w:t>
      </w:r>
      <w:r w:rsidRPr="00816C6E">
        <w:rPr>
          <w:rFonts w:ascii="Times New Roman" w:hAnsi="Times New Roman" w:cs="Times New Roman"/>
          <w:sz w:val="26"/>
          <w:szCs w:val="26"/>
        </w:rPr>
        <w:t>, 101767. https://doi.org/10.1016/j.jretconser.2019.01.016</w:t>
      </w:r>
    </w:p>
    <w:p w14:paraId="051D585C"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Amin, F., &amp; Nika, F. A. (2022). Brand experience and customer brand engagement: An empirical study of online shopping brands. </w:t>
      </w:r>
      <w:r w:rsidRPr="00816C6E">
        <w:rPr>
          <w:rFonts w:ascii="Times New Roman" w:hAnsi="Times New Roman" w:cs="Times New Roman"/>
          <w:i/>
          <w:iCs/>
          <w:sz w:val="26"/>
          <w:szCs w:val="26"/>
        </w:rPr>
        <w:t>Amity Journal of Management Research</w:t>
      </w:r>
      <w:r w:rsidRPr="00816C6E">
        <w:rPr>
          <w:rFonts w:ascii="Times New Roman" w:hAnsi="Times New Roman" w:cs="Times New Roman"/>
          <w:i/>
          <w:iCs/>
          <w:sz w:val="26"/>
          <w:szCs w:val="26"/>
          <w:lang w:eastAsia="zh-TW"/>
        </w:rPr>
        <w:t>, 5</w:t>
      </w:r>
      <w:r w:rsidRPr="00816C6E">
        <w:rPr>
          <w:rFonts w:ascii="Times New Roman" w:hAnsi="Times New Roman" w:cs="Times New Roman"/>
          <w:sz w:val="26"/>
          <w:szCs w:val="26"/>
          <w:lang w:eastAsia="zh-TW"/>
        </w:rPr>
        <w:t>(1)</w:t>
      </w:r>
      <w:r w:rsidRPr="00816C6E">
        <w:rPr>
          <w:rFonts w:ascii="Times New Roman" w:hAnsi="Times New Roman" w:cs="Times New Roman"/>
          <w:sz w:val="26"/>
          <w:szCs w:val="26"/>
        </w:rPr>
        <w:t>, 550-563.</w:t>
      </w:r>
      <w:r w:rsidRPr="00DB6ADD">
        <w:rPr>
          <w:rFonts w:ascii="Times New Roman" w:hAnsi="Times New Roman" w:cs="Times New Roman"/>
          <w:color w:val="000000" w:themeColor="text1"/>
          <w:sz w:val="26"/>
          <w:szCs w:val="26"/>
        </w:rPr>
        <w:t xml:space="preserve"> </w:t>
      </w:r>
      <w:hyperlink r:id="rId9" w:history="1">
        <w:r w:rsidRPr="00DB6ADD">
          <w:rPr>
            <w:rStyle w:val="af0"/>
            <w:rFonts w:ascii="Times New Roman" w:hAnsi="Times New Roman" w:cs="Times New Roman"/>
            <w:color w:val="000000" w:themeColor="text1"/>
            <w:sz w:val="26"/>
            <w:szCs w:val="26"/>
            <w:u w:val="none"/>
          </w:rPr>
          <w:t>https://api.semanticscholar.org/CorpusID:251244011</w:t>
        </w:r>
      </w:hyperlink>
    </w:p>
    <w:p w14:paraId="51D36683"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Badan Pusat Statistik. (2024). </w:t>
      </w:r>
      <w:r w:rsidRPr="00816C6E">
        <w:rPr>
          <w:rFonts w:ascii="Times New Roman" w:hAnsi="Times New Roman" w:cs="Times New Roman"/>
          <w:i/>
          <w:iCs/>
          <w:sz w:val="26"/>
          <w:szCs w:val="26"/>
        </w:rPr>
        <w:t>E-commerce statistik2024</w:t>
      </w:r>
      <w:r w:rsidRPr="00816C6E">
        <w:rPr>
          <w:rFonts w:ascii="Times New Roman" w:hAnsi="Times New Roman" w:cs="Times New Roman"/>
          <w:sz w:val="26"/>
          <w:szCs w:val="26"/>
        </w:rPr>
        <w:t xml:space="preserve">. </w:t>
      </w:r>
      <w:r w:rsidRPr="006839D6">
        <w:rPr>
          <w:rFonts w:ascii="Times New Roman" w:hAnsi="Times New Roman" w:cs="Times New Roman"/>
          <w:sz w:val="26"/>
          <w:szCs w:val="26"/>
        </w:rPr>
        <w:t>https://www.bps.go.id/en/publication/2025/11/28/647323224ecc656c2933571b/e-commerce-statistics-2024.html</w:t>
      </w:r>
    </w:p>
    <w:p w14:paraId="3610860F" w14:textId="77777777" w:rsidR="001D563D" w:rsidRDefault="001D563D" w:rsidP="00EA33C0">
      <w:pPr>
        <w:pStyle w:val="EndNoteBibliography"/>
        <w:spacing w:after="0" w:line="360" w:lineRule="exact"/>
        <w:ind w:left="567" w:hanging="567"/>
        <w:jc w:val="left"/>
        <w:rPr>
          <w:rFonts w:ascii="Times New Roman" w:hAnsi="Times New Roman" w:cs="Times New Roman"/>
          <w:sz w:val="26"/>
          <w:szCs w:val="26"/>
        </w:rPr>
      </w:pPr>
      <w:r w:rsidRPr="00F77D83">
        <w:rPr>
          <w:rFonts w:ascii="Times New Roman" w:hAnsi="Times New Roman" w:cs="Times New Roman"/>
          <w:sz w:val="26"/>
          <w:szCs w:val="26"/>
        </w:rPr>
        <w:t xml:space="preserve">Beig, F. A., &amp; Nika, F. A. (2019). Brand experience and brand equity. </w:t>
      </w:r>
      <w:r w:rsidRPr="000C5081">
        <w:rPr>
          <w:rFonts w:ascii="Times New Roman" w:hAnsi="Times New Roman" w:cs="Times New Roman"/>
          <w:i/>
          <w:iCs/>
          <w:sz w:val="26"/>
          <w:szCs w:val="26"/>
        </w:rPr>
        <w:t>Vision</w:t>
      </w:r>
      <w:r w:rsidRPr="00CC235E">
        <w:rPr>
          <w:rFonts w:ascii="Times New Roman" w:hAnsi="Times New Roman" w:cs="Times New Roman"/>
          <w:i/>
          <w:iCs/>
          <w:sz w:val="26"/>
          <w:szCs w:val="26"/>
        </w:rPr>
        <w:t>: The Journal of Business Perspective</w:t>
      </w:r>
      <w:r w:rsidRPr="00F77D83">
        <w:rPr>
          <w:rFonts w:ascii="Times New Roman" w:hAnsi="Times New Roman" w:cs="Times New Roman"/>
          <w:sz w:val="26"/>
          <w:szCs w:val="26"/>
        </w:rPr>
        <w:t>, 23(4), 410–417.</w:t>
      </w:r>
      <w:r>
        <w:rPr>
          <w:rFonts w:ascii="Times New Roman" w:hAnsi="Times New Roman" w:cs="Times New Roman"/>
          <w:sz w:val="26"/>
          <w:szCs w:val="26"/>
        </w:rPr>
        <w:t xml:space="preserve"> </w:t>
      </w:r>
      <w:r w:rsidRPr="00E13B67">
        <w:rPr>
          <w:rFonts w:ascii="Times New Roman" w:hAnsi="Times New Roman" w:cs="Times New Roman"/>
          <w:sz w:val="26"/>
          <w:szCs w:val="26"/>
        </w:rPr>
        <w:t>https://doi.org/10.1177/0972262919860963</w:t>
      </w:r>
    </w:p>
    <w:p w14:paraId="32F3B874"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Beig, F. A., &amp; Nika, F. A. (2022). Impact of brand experience on brand equity of online shopping portals: A study of select e-commerce sites in the State of Jammu and Kashmir. </w:t>
      </w:r>
      <w:r w:rsidRPr="00816C6E">
        <w:rPr>
          <w:rFonts w:ascii="Times New Roman" w:hAnsi="Times New Roman" w:cs="Times New Roman"/>
          <w:i/>
          <w:iCs/>
          <w:sz w:val="26"/>
          <w:szCs w:val="26"/>
        </w:rPr>
        <w:t>Global Business Review, 23</w:t>
      </w:r>
      <w:r w:rsidRPr="00816C6E">
        <w:rPr>
          <w:rFonts w:ascii="Times New Roman" w:hAnsi="Times New Roman" w:cs="Times New Roman"/>
          <w:sz w:val="26"/>
          <w:szCs w:val="26"/>
        </w:rPr>
        <w:t>(1), 156–175. https://doi.org/10.1177/0972150919836041</w:t>
      </w:r>
    </w:p>
    <w:p w14:paraId="4AF80D29"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Benitez, J., Henseler, J., Castillo, A., &amp; Schuberth, F. (2020). How to perform and report an impactful analysis using partial least squares: Guidelines for confirmatory and explanatory IS research. </w:t>
      </w:r>
      <w:r w:rsidRPr="000C5081">
        <w:rPr>
          <w:rFonts w:ascii="Times New Roman" w:hAnsi="Times New Roman" w:cs="Times New Roman"/>
          <w:i/>
          <w:iCs/>
          <w:sz w:val="26"/>
          <w:szCs w:val="26"/>
        </w:rPr>
        <w:t>Information &amp; Management</w:t>
      </w:r>
      <w:r w:rsidRPr="00816C6E">
        <w:rPr>
          <w:rFonts w:ascii="Times New Roman" w:hAnsi="Times New Roman" w:cs="Times New Roman"/>
          <w:sz w:val="26"/>
          <w:szCs w:val="26"/>
        </w:rPr>
        <w:t xml:space="preserve">, </w:t>
      </w:r>
      <w:r w:rsidRPr="00DC5618">
        <w:rPr>
          <w:rFonts w:ascii="Times New Roman" w:hAnsi="Times New Roman" w:cs="Times New Roman"/>
          <w:i/>
          <w:iCs/>
          <w:sz w:val="26"/>
          <w:szCs w:val="26"/>
        </w:rPr>
        <w:t>57</w:t>
      </w:r>
      <w:r w:rsidRPr="00816C6E">
        <w:rPr>
          <w:rFonts w:ascii="Times New Roman" w:hAnsi="Times New Roman" w:cs="Times New Roman"/>
          <w:sz w:val="26"/>
          <w:szCs w:val="26"/>
        </w:rPr>
        <w:t>(2), 103168. https://doi.org/10.1016/j.im.2019.05.003</w:t>
      </w:r>
    </w:p>
    <w:p w14:paraId="291DC1A0"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Brakus, J. J., Schmitt, B. H., &amp; Zarantonello, L. (2009). Brand experience: What is it? How is it measured? Does it affect loyalty? </w:t>
      </w:r>
      <w:r w:rsidRPr="00816C6E">
        <w:rPr>
          <w:rFonts w:ascii="Times New Roman" w:hAnsi="Times New Roman" w:cs="Times New Roman"/>
          <w:i/>
          <w:iCs/>
          <w:sz w:val="26"/>
          <w:szCs w:val="26"/>
        </w:rPr>
        <w:t>Journal of Marketing, 73</w:t>
      </w:r>
      <w:r w:rsidRPr="00816C6E">
        <w:rPr>
          <w:rFonts w:ascii="Times New Roman" w:hAnsi="Times New Roman" w:cs="Times New Roman"/>
          <w:sz w:val="26"/>
          <w:szCs w:val="26"/>
        </w:rPr>
        <w:t>(3), 52–68. https://doi.org/10.1509/jmkg.73.3.052</w:t>
      </w:r>
    </w:p>
    <w:p w14:paraId="7599E7E5"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Brodie, R. J., Hollebeek, L. D., Jurić, B., &amp; Ilić, A. (2011). Customer engagement: Conceptual domain, fundamental propositions, and implications for research. </w:t>
      </w:r>
      <w:r w:rsidRPr="00816C6E">
        <w:rPr>
          <w:rFonts w:ascii="Times New Roman" w:hAnsi="Times New Roman" w:cs="Times New Roman"/>
          <w:i/>
          <w:iCs/>
          <w:sz w:val="26"/>
          <w:szCs w:val="26"/>
        </w:rPr>
        <w:t>Journal of Service Research, 14</w:t>
      </w:r>
      <w:r w:rsidRPr="00816C6E">
        <w:rPr>
          <w:rFonts w:ascii="Times New Roman" w:hAnsi="Times New Roman" w:cs="Times New Roman"/>
          <w:sz w:val="26"/>
          <w:szCs w:val="26"/>
        </w:rPr>
        <w:t>(3), 252–271. https://doi.org/10.1177/1094670511411703</w:t>
      </w:r>
    </w:p>
    <w:p w14:paraId="2C62350D"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Busalim, A. H., Ghabban, F., &amp; Hussin, A. R. C. (2021). Customer engagement behaviour on social commerce platforms: An empirical study. </w:t>
      </w:r>
      <w:r w:rsidRPr="00816C6E">
        <w:rPr>
          <w:rFonts w:ascii="Times New Roman" w:hAnsi="Times New Roman" w:cs="Times New Roman"/>
          <w:i/>
          <w:iCs/>
          <w:sz w:val="26"/>
          <w:szCs w:val="26"/>
        </w:rPr>
        <w:t>Technology in Society</w:t>
      </w:r>
      <w:r>
        <w:rPr>
          <w:rFonts w:ascii="Times New Roman" w:hAnsi="Times New Roman" w:cs="Times New Roman"/>
          <w:i/>
          <w:iCs/>
          <w:sz w:val="26"/>
          <w:szCs w:val="26"/>
        </w:rPr>
        <w:t>,</w:t>
      </w:r>
      <w:r w:rsidRPr="00816C6E">
        <w:rPr>
          <w:rFonts w:ascii="Times New Roman" w:hAnsi="Times New Roman" w:cs="Times New Roman"/>
          <w:i/>
          <w:iCs/>
          <w:sz w:val="26"/>
          <w:szCs w:val="26"/>
        </w:rPr>
        <w:t xml:space="preserve"> 64,</w:t>
      </w:r>
      <w:r w:rsidRPr="00816C6E">
        <w:rPr>
          <w:rFonts w:ascii="Times New Roman" w:hAnsi="Times New Roman" w:cs="Times New Roman"/>
          <w:sz w:val="26"/>
          <w:szCs w:val="26"/>
        </w:rPr>
        <w:t xml:space="preserve"> 101437. https://doi.org/10.1016/j.techsoc.2020.101437</w:t>
      </w:r>
    </w:p>
    <w:p w14:paraId="4E9A0D1D" w14:textId="2A9BC62C"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Cheung, M.</w:t>
      </w:r>
      <w:r>
        <w:rPr>
          <w:rFonts w:ascii="Times New Roman" w:hAnsi="Times New Roman" w:cs="Times New Roman"/>
          <w:sz w:val="26"/>
          <w:szCs w:val="26"/>
        </w:rPr>
        <w:t xml:space="preserve"> L.</w:t>
      </w:r>
      <w:r w:rsidRPr="00816C6E">
        <w:rPr>
          <w:rFonts w:ascii="Times New Roman" w:hAnsi="Times New Roman" w:cs="Times New Roman"/>
          <w:sz w:val="26"/>
          <w:szCs w:val="26"/>
        </w:rPr>
        <w:t>, Pires, G. D., &amp; Rosenberger, P. J., III.</w:t>
      </w:r>
      <w:r>
        <w:rPr>
          <w:rFonts w:ascii="Times New Roman" w:hAnsi="Times New Roman" w:cs="Times New Roman"/>
          <w:sz w:val="26"/>
          <w:szCs w:val="26"/>
        </w:rPr>
        <w:t xml:space="preserve"> </w:t>
      </w:r>
      <w:r w:rsidRPr="00816C6E">
        <w:rPr>
          <w:rFonts w:ascii="Times New Roman" w:hAnsi="Times New Roman" w:cs="Times New Roman"/>
          <w:sz w:val="26"/>
          <w:szCs w:val="26"/>
        </w:rPr>
        <w:t xml:space="preserve">(2021). Exploring consumer–brand engagement: A holistic framework. </w:t>
      </w:r>
      <w:r w:rsidRPr="00816C6E">
        <w:rPr>
          <w:rFonts w:ascii="Times New Roman" w:hAnsi="Times New Roman" w:cs="Times New Roman"/>
          <w:i/>
          <w:iCs/>
          <w:sz w:val="26"/>
          <w:szCs w:val="26"/>
        </w:rPr>
        <w:t>European Business Review, 33</w:t>
      </w:r>
      <w:r w:rsidRPr="00816C6E">
        <w:rPr>
          <w:rFonts w:ascii="Times New Roman" w:hAnsi="Times New Roman" w:cs="Times New Roman"/>
          <w:sz w:val="26"/>
          <w:szCs w:val="26"/>
        </w:rPr>
        <w:t>(1). https://doi.org/10.1108/ebr-10-2019-0256</w:t>
      </w:r>
    </w:p>
    <w:p w14:paraId="06F5DFC4" w14:textId="7FC47102"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Enes, Y. d</w:t>
      </w:r>
      <w:r w:rsidR="006A0B04">
        <w:rPr>
          <w:rFonts w:ascii="Times New Roman" w:hAnsi="Times New Roman" w:cs="Times New Roman"/>
          <w:sz w:val="26"/>
          <w:szCs w:val="26"/>
        </w:rPr>
        <w:t>e</w:t>
      </w:r>
      <w:r w:rsidRPr="00816C6E">
        <w:rPr>
          <w:rFonts w:ascii="Times New Roman" w:hAnsi="Times New Roman" w:cs="Times New Roman"/>
          <w:sz w:val="26"/>
          <w:szCs w:val="26"/>
        </w:rPr>
        <w:t xml:space="preserve"> S. O., Demo, G., Porto, R. B., &amp; Zulato, T. S. (2024). What is next for consumer-based brand equity in digital brands? Research itineraries and new challenges. </w:t>
      </w:r>
      <w:r w:rsidRPr="00816C6E">
        <w:rPr>
          <w:rFonts w:ascii="Times New Roman" w:hAnsi="Times New Roman" w:cs="Times New Roman"/>
          <w:i/>
          <w:iCs/>
          <w:sz w:val="26"/>
          <w:szCs w:val="26"/>
        </w:rPr>
        <w:t>Sustainability, 16</w:t>
      </w:r>
      <w:r w:rsidRPr="00816C6E">
        <w:rPr>
          <w:rFonts w:ascii="Times New Roman" w:hAnsi="Times New Roman" w:cs="Times New Roman"/>
          <w:sz w:val="26"/>
          <w:szCs w:val="26"/>
        </w:rPr>
        <w:t>(13), 5412. https://doi.org/10.3390/su16135412</w:t>
      </w:r>
    </w:p>
    <w:p w14:paraId="21960798"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Esmaeili, L., &amp; Hashemi G</w:t>
      </w:r>
      <w:r>
        <w:rPr>
          <w:rFonts w:ascii="Times New Roman" w:hAnsi="Times New Roman" w:cs="Times New Roman"/>
          <w:sz w:val="26"/>
          <w:szCs w:val="26"/>
        </w:rPr>
        <w:t>.,</w:t>
      </w:r>
      <w:r w:rsidRPr="00816C6E">
        <w:rPr>
          <w:rFonts w:ascii="Times New Roman" w:hAnsi="Times New Roman" w:cs="Times New Roman"/>
          <w:sz w:val="26"/>
          <w:szCs w:val="26"/>
        </w:rPr>
        <w:t xml:space="preserve"> S. A. (2019). A systematic review on social commerce. </w:t>
      </w:r>
      <w:r w:rsidRPr="00816C6E">
        <w:rPr>
          <w:rFonts w:ascii="Times New Roman" w:hAnsi="Times New Roman" w:cs="Times New Roman"/>
          <w:i/>
          <w:iCs/>
          <w:sz w:val="26"/>
          <w:szCs w:val="26"/>
        </w:rPr>
        <w:t>Journal of Strategic Marketing,</w:t>
      </w:r>
      <w:r w:rsidRPr="003148D2">
        <w:rPr>
          <w:rFonts w:ascii="Times New Roman" w:hAnsi="Times New Roman" w:cs="Times New Roman"/>
          <w:i/>
          <w:iCs/>
          <w:sz w:val="26"/>
          <w:szCs w:val="26"/>
        </w:rPr>
        <w:t xml:space="preserve"> 27</w:t>
      </w:r>
      <w:r w:rsidRPr="00816C6E">
        <w:rPr>
          <w:rFonts w:ascii="Times New Roman" w:hAnsi="Times New Roman" w:cs="Times New Roman"/>
          <w:sz w:val="26"/>
          <w:szCs w:val="26"/>
        </w:rPr>
        <w:t>(4), 317–355. https://doi.org/10.1080/0965254X.2017.1408672</w:t>
      </w:r>
    </w:p>
    <w:p w14:paraId="13AE1E33"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Farhat, K.</w:t>
      </w:r>
      <w:r w:rsidRPr="00254251">
        <w:rPr>
          <w:rFonts w:ascii="Times New Roman" w:hAnsi="Times New Roman" w:cs="Times New Roman"/>
          <w:sz w:val="26"/>
          <w:szCs w:val="26"/>
        </w:rPr>
        <w:t>, Mokhtar, S. S. M., &amp; Salleh, S. B. M.</w:t>
      </w:r>
      <w:r w:rsidRPr="00816C6E">
        <w:rPr>
          <w:rFonts w:ascii="Times New Roman" w:hAnsi="Times New Roman" w:cs="Times New Roman"/>
          <w:sz w:val="26"/>
          <w:szCs w:val="26"/>
        </w:rPr>
        <w:t xml:space="preserve"> (2020). Linking brand engagement to customer-based brand equity and role of brand experience, brand personality, and brand affect: A case of automobile market of Pakistan. </w:t>
      </w:r>
      <w:r w:rsidRPr="00816C6E">
        <w:rPr>
          <w:rFonts w:ascii="Times New Roman" w:hAnsi="Times New Roman" w:cs="Times New Roman"/>
          <w:i/>
          <w:iCs/>
          <w:sz w:val="26"/>
          <w:szCs w:val="26"/>
        </w:rPr>
        <w:t>Management Science Letters, 10</w:t>
      </w:r>
      <w:r w:rsidRPr="00816C6E">
        <w:rPr>
          <w:rFonts w:ascii="Times New Roman" w:hAnsi="Times New Roman" w:cs="Times New Roman"/>
          <w:sz w:val="26"/>
          <w:szCs w:val="26"/>
        </w:rPr>
        <w:t>, 2237–2248</w:t>
      </w:r>
      <w:r>
        <w:rPr>
          <w:rFonts w:ascii="Times New Roman" w:hAnsi="Times New Roman" w:cs="Times New Roman"/>
          <w:sz w:val="26"/>
          <w:szCs w:val="26"/>
        </w:rPr>
        <w:t xml:space="preserve">. </w:t>
      </w:r>
      <w:r w:rsidRPr="00816C6E">
        <w:rPr>
          <w:rFonts w:ascii="Times New Roman" w:hAnsi="Times New Roman" w:cs="Times New Roman"/>
          <w:sz w:val="26"/>
          <w:szCs w:val="26"/>
        </w:rPr>
        <w:t>https://doi.org/10.5267/j.msl.2020.3.012</w:t>
      </w:r>
    </w:p>
    <w:p w14:paraId="19C9450D"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Fornell, C., &amp; Larcker, D. F. (1981). Evaluating structural equation models with unobservable variables and measurement error. </w:t>
      </w:r>
      <w:r w:rsidRPr="00816C6E">
        <w:rPr>
          <w:rFonts w:ascii="Times New Roman" w:hAnsi="Times New Roman" w:cs="Times New Roman"/>
          <w:i/>
          <w:iCs/>
          <w:sz w:val="26"/>
          <w:szCs w:val="26"/>
        </w:rPr>
        <w:t>Journal of Marketing Research, 18</w:t>
      </w:r>
      <w:r w:rsidRPr="00816C6E">
        <w:rPr>
          <w:rFonts w:ascii="Times New Roman" w:hAnsi="Times New Roman" w:cs="Times New Roman"/>
          <w:sz w:val="26"/>
          <w:szCs w:val="26"/>
        </w:rPr>
        <w:t>(1), 39–50. https://doi.org/10.1177/002224378101800104</w:t>
      </w:r>
    </w:p>
    <w:p w14:paraId="596AB1E1" w14:textId="3F460224"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6F3455">
        <w:rPr>
          <w:rFonts w:ascii="Times New Roman" w:hAnsi="Times New Roman" w:cs="Times New Roman"/>
          <w:sz w:val="26"/>
          <w:szCs w:val="26"/>
        </w:rPr>
        <w:t>Gómez</w:t>
      </w:r>
      <w:r w:rsidRPr="00816C6E">
        <w:rPr>
          <w:rFonts w:ascii="Times New Roman" w:hAnsi="Times New Roman" w:cs="Times New Roman"/>
          <w:sz w:val="26"/>
          <w:szCs w:val="26"/>
        </w:rPr>
        <w:t xml:space="preserve">, M., Lopez, C., &amp; Molina, A. (2019). An integrated model of social media brand engagement. </w:t>
      </w:r>
      <w:r w:rsidRPr="00816C6E">
        <w:rPr>
          <w:rFonts w:ascii="Times New Roman" w:hAnsi="Times New Roman" w:cs="Times New Roman"/>
          <w:i/>
          <w:iCs/>
          <w:sz w:val="26"/>
          <w:szCs w:val="26"/>
        </w:rPr>
        <w:t>Computers in Human Behavior, 96</w:t>
      </w:r>
      <w:r w:rsidRPr="00816C6E">
        <w:rPr>
          <w:rFonts w:ascii="Times New Roman" w:hAnsi="Times New Roman" w:cs="Times New Roman"/>
          <w:sz w:val="26"/>
          <w:szCs w:val="26"/>
        </w:rPr>
        <w:t>, 196</w:t>
      </w:r>
      <w:r w:rsidRPr="00816C6E">
        <w:t>–</w:t>
      </w:r>
      <w:r w:rsidRPr="00816C6E">
        <w:rPr>
          <w:rFonts w:ascii="Times New Roman" w:hAnsi="Times New Roman" w:cs="Times New Roman"/>
          <w:sz w:val="26"/>
          <w:szCs w:val="26"/>
        </w:rPr>
        <w:t>206. https://doi.org/10.1016/j.chb.2019.01.026</w:t>
      </w:r>
    </w:p>
    <w:p w14:paraId="6D36DA61" w14:textId="2445A6FE"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Hair, J., &amp; Alamer, A. (2022). Partial least squares structural equation modeling (PLS-SEM) in second language and education research: Guidelines using an applied example. </w:t>
      </w:r>
      <w:r w:rsidRPr="00816C6E">
        <w:rPr>
          <w:rFonts w:ascii="Times New Roman" w:hAnsi="Times New Roman" w:cs="Times New Roman"/>
          <w:i/>
          <w:iCs/>
          <w:sz w:val="26"/>
          <w:szCs w:val="26"/>
        </w:rPr>
        <w:t>Research Methods in Applied Linguistics, 1</w:t>
      </w:r>
      <w:r w:rsidRPr="00816C6E">
        <w:rPr>
          <w:rFonts w:ascii="Times New Roman" w:hAnsi="Times New Roman" w:cs="Times New Roman"/>
          <w:sz w:val="26"/>
          <w:szCs w:val="26"/>
        </w:rPr>
        <w:t>(3), 100027. https://doi.org/10.1016/j.rmal.2022.100027</w:t>
      </w:r>
    </w:p>
    <w:p w14:paraId="6C64ACAD" w14:textId="577771E0"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Hair, J. F., Risher, J. J., Sarstedt, M., &amp; Ringle, C. M. (2019). When to use and how to report the results of PLS-SEM. </w:t>
      </w:r>
      <w:r w:rsidRPr="00816C6E">
        <w:rPr>
          <w:rFonts w:ascii="Times New Roman" w:hAnsi="Times New Roman" w:cs="Times New Roman"/>
          <w:i/>
          <w:iCs/>
          <w:sz w:val="26"/>
          <w:szCs w:val="26"/>
        </w:rPr>
        <w:t>European Business Review, 31</w:t>
      </w:r>
      <w:r w:rsidRPr="00816C6E">
        <w:rPr>
          <w:rFonts w:ascii="Times New Roman" w:hAnsi="Times New Roman" w:cs="Times New Roman"/>
          <w:sz w:val="26"/>
          <w:szCs w:val="26"/>
        </w:rPr>
        <w:t>(1), 2</w:t>
      </w:r>
      <w:r w:rsidRPr="00816C6E">
        <w:t>–</w:t>
      </w:r>
      <w:r w:rsidRPr="00816C6E">
        <w:rPr>
          <w:rFonts w:ascii="Times New Roman" w:hAnsi="Times New Roman" w:cs="Times New Roman"/>
          <w:sz w:val="26"/>
          <w:szCs w:val="26"/>
        </w:rPr>
        <w:t>24. https://doi.org/10.1108/EBR-11-2018-0203</w:t>
      </w:r>
    </w:p>
    <w:p w14:paraId="6D416959"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Henseler, J., Ringle, C. M., &amp; Sarstedt, M. (2015). A new criterion for assessing discriminant validity in variance-based structural equation modeling. </w:t>
      </w:r>
      <w:r w:rsidRPr="00816C6E">
        <w:rPr>
          <w:rFonts w:ascii="Times New Roman" w:hAnsi="Times New Roman" w:cs="Times New Roman"/>
          <w:i/>
          <w:iCs/>
          <w:sz w:val="26"/>
          <w:szCs w:val="26"/>
        </w:rPr>
        <w:t>Journal of the Academy of Marketing Science, 43</w:t>
      </w:r>
      <w:r w:rsidRPr="00816C6E">
        <w:rPr>
          <w:rFonts w:ascii="Times New Roman" w:hAnsi="Times New Roman" w:cs="Times New Roman"/>
          <w:sz w:val="26"/>
          <w:szCs w:val="26"/>
        </w:rPr>
        <w:t>(1), 115–135. https://doi.org/10.1007/s11747-014-0403-8</w:t>
      </w:r>
    </w:p>
    <w:p w14:paraId="017368F5"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Hu, Q., &amp; Song, C. (2025). Brand communication innovation in the new media environment: Consumer trust, social media interaction, and psychological resonance. </w:t>
      </w:r>
      <w:r w:rsidRPr="00816C6E">
        <w:rPr>
          <w:rFonts w:ascii="Times New Roman" w:hAnsi="Times New Roman" w:cs="Times New Roman"/>
          <w:i/>
          <w:iCs/>
          <w:sz w:val="26"/>
          <w:szCs w:val="26"/>
        </w:rPr>
        <w:t>Global Review of Humanities, Arts, and Society, 1</w:t>
      </w:r>
      <w:r w:rsidRPr="00816C6E">
        <w:rPr>
          <w:rFonts w:ascii="Times New Roman" w:hAnsi="Times New Roman" w:cs="Times New Roman"/>
          <w:sz w:val="26"/>
          <w:szCs w:val="26"/>
        </w:rPr>
        <w:t>(1), 39–48. https://doi.org/10.63802/grhas.v1.i1.6</w:t>
      </w:r>
    </w:p>
    <w:p w14:paraId="438E2897"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Iglesias, O., Markovic, S., &amp; Rialp, J. (2019). How does sensory brand experience influence brand equity? Considering the roles of customer satisfaction, customer affective commitment, and employee empathy. </w:t>
      </w:r>
      <w:r w:rsidRPr="00816C6E">
        <w:rPr>
          <w:rFonts w:ascii="Times New Roman" w:hAnsi="Times New Roman" w:cs="Times New Roman"/>
          <w:i/>
          <w:iCs/>
          <w:sz w:val="26"/>
          <w:szCs w:val="26"/>
        </w:rPr>
        <w:t>Journal of Business Research, 96</w:t>
      </w:r>
      <w:r w:rsidRPr="006A0B04">
        <w:rPr>
          <w:rFonts w:ascii="Times New Roman" w:hAnsi="Times New Roman" w:cs="Times New Roman"/>
          <w:sz w:val="26"/>
          <w:szCs w:val="26"/>
        </w:rPr>
        <w:t>,</w:t>
      </w:r>
      <w:r w:rsidRPr="00816C6E">
        <w:rPr>
          <w:rFonts w:ascii="Times New Roman" w:hAnsi="Times New Roman" w:cs="Times New Roman"/>
          <w:sz w:val="26"/>
          <w:szCs w:val="26"/>
        </w:rPr>
        <w:t xml:space="preserve"> 343–354. https://doi.org/10.1016/j.jbusres.2018.05.043</w:t>
      </w:r>
    </w:p>
    <w:p w14:paraId="3FB7FB6E" w14:textId="376981AC" w:rsidR="001D563D"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Jeon, H. M., &amp; Yoo, S. R. (2021). The relationship between brand experience and consumer-based brand equity in grocerants. </w:t>
      </w:r>
      <w:r w:rsidRPr="00816C6E">
        <w:rPr>
          <w:rFonts w:ascii="Times New Roman" w:hAnsi="Times New Roman" w:cs="Times New Roman"/>
          <w:i/>
          <w:iCs/>
          <w:sz w:val="26"/>
          <w:szCs w:val="26"/>
        </w:rPr>
        <w:t>Service Business, 15</w:t>
      </w:r>
      <w:r w:rsidRPr="00816C6E">
        <w:rPr>
          <w:rFonts w:ascii="Times New Roman" w:hAnsi="Times New Roman" w:cs="Times New Roman"/>
          <w:sz w:val="26"/>
          <w:szCs w:val="26"/>
        </w:rPr>
        <w:t xml:space="preserve">(2), 369–389. </w:t>
      </w:r>
      <w:hyperlink r:id="rId10" w:history="1">
        <w:r w:rsidRPr="00DC5618">
          <w:rPr>
            <w:rStyle w:val="af0"/>
            <w:rFonts w:ascii="Times New Roman" w:hAnsi="Times New Roman" w:cs="Times New Roman"/>
            <w:color w:val="000000" w:themeColor="text1"/>
            <w:sz w:val="26"/>
            <w:szCs w:val="26"/>
            <w:u w:val="none"/>
          </w:rPr>
          <w:t>https://doi.org/10.1007/s11628-021-00439-8</w:t>
        </w:r>
      </w:hyperlink>
    </w:p>
    <w:p w14:paraId="10357059"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AB0A90">
        <w:rPr>
          <w:rFonts w:ascii="Times New Roman" w:hAnsi="Times New Roman" w:cs="Times New Roman"/>
          <w:sz w:val="26"/>
          <w:szCs w:val="26"/>
        </w:rPr>
        <w:t xml:space="preserve">Karim, R. A., Hoque, I. F., Islam, M. W., &amp; Shamsun, F. (2025). Modeling brand experience and brand equity association in the banking industry: Mediating role of brand identification, attachment and engagement. </w:t>
      </w:r>
      <w:r w:rsidRPr="00DC5618">
        <w:rPr>
          <w:rFonts w:ascii="Times New Roman" w:hAnsi="Times New Roman" w:cs="Times New Roman"/>
          <w:i/>
          <w:iCs/>
          <w:sz w:val="26"/>
          <w:szCs w:val="26"/>
        </w:rPr>
        <w:t>Journal of Modelling in Management</w:t>
      </w:r>
      <w:r w:rsidRPr="006A0B04">
        <w:rPr>
          <w:rFonts w:ascii="Times New Roman" w:hAnsi="Times New Roman" w:cs="Times New Roman"/>
          <w:i/>
          <w:iCs/>
          <w:sz w:val="26"/>
          <w:szCs w:val="26"/>
        </w:rPr>
        <w:t>, 20</w:t>
      </w:r>
      <w:r w:rsidRPr="00AB0A90">
        <w:rPr>
          <w:rFonts w:ascii="Times New Roman" w:hAnsi="Times New Roman" w:cs="Times New Roman"/>
          <w:sz w:val="26"/>
          <w:szCs w:val="26"/>
        </w:rPr>
        <w:t>(4), 1265–1283.</w:t>
      </w:r>
      <w:r>
        <w:rPr>
          <w:rFonts w:ascii="Times New Roman" w:hAnsi="Times New Roman" w:cs="Times New Roman"/>
          <w:sz w:val="26"/>
          <w:szCs w:val="26"/>
        </w:rPr>
        <w:t xml:space="preserve"> </w:t>
      </w:r>
      <w:r w:rsidRPr="006F3455">
        <w:rPr>
          <w:rFonts w:ascii="Times New Roman" w:hAnsi="Times New Roman" w:cs="Times New Roman"/>
          <w:sz w:val="26"/>
          <w:szCs w:val="26"/>
        </w:rPr>
        <w:t xml:space="preserve">https://doi.org/10.1108/jm2-07-2024-0231 </w:t>
      </w:r>
    </w:p>
    <w:p w14:paraId="6D23C173" w14:textId="16D7D78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Keller, K. L., &amp; Brexendorf, T. O. (2019). Measuring brand equity. In F.-R. Esch (Ed.), </w:t>
      </w:r>
      <w:r w:rsidRPr="00816C6E">
        <w:rPr>
          <w:rFonts w:ascii="Times New Roman" w:hAnsi="Times New Roman" w:cs="Times New Roman"/>
          <w:i/>
          <w:iCs/>
          <w:sz w:val="26"/>
          <w:szCs w:val="26"/>
        </w:rPr>
        <w:t xml:space="preserve">Handbuch Markenführung </w:t>
      </w:r>
      <w:r w:rsidRPr="00816C6E">
        <w:rPr>
          <w:rFonts w:ascii="Times New Roman" w:hAnsi="Times New Roman" w:cs="Times New Roman"/>
          <w:sz w:val="26"/>
          <w:szCs w:val="26"/>
        </w:rPr>
        <w:t xml:space="preserve">(pp. 1409-–1439). </w:t>
      </w:r>
      <w:r w:rsidRPr="006F3455">
        <w:rPr>
          <w:rFonts w:ascii="Times New Roman" w:hAnsi="Times New Roman" w:cs="Times New Roman"/>
          <w:sz w:val="26"/>
          <w:szCs w:val="26"/>
        </w:rPr>
        <w:t>Springer Reference Wirtschaft</w:t>
      </w:r>
      <w:r w:rsidRPr="00816C6E">
        <w:rPr>
          <w:rFonts w:ascii="Times New Roman" w:hAnsi="Times New Roman" w:cs="Times New Roman"/>
          <w:sz w:val="26"/>
          <w:szCs w:val="26"/>
        </w:rPr>
        <w:t>. https://doi.org/10.1007/978-3-658-13342-9_72</w:t>
      </w:r>
    </w:p>
    <w:p w14:paraId="0FC13EAF"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Khan, I., Hollebeek, L. D.</w:t>
      </w:r>
      <w:r w:rsidRPr="00816C6E">
        <w:rPr>
          <w:rFonts w:ascii="Times New Roman" w:hAnsi="Times New Roman" w:cs="Times New Roman"/>
          <w:sz w:val="26"/>
          <w:szCs w:val="26"/>
          <w:lang w:eastAsia="zh-TW"/>
        </w:rPr>
        <w:t>,</w:t>
      </w:r>
      <w:r w:rsidRPr="00816C6E">
        <w:rPr>
          <w:rFonts w:ascii="Times New Roman" w:hAnsi="Times New Roman" w:cs="Times New Roman"/>
          <w:sz w:val="26"/>
          <w:szCs w:val="26"/>
        </w:rPr>
        <w:t xml:space="preserve"> Fatma, M., Islam, J. U., </w:t>
      </w:r>
      <w:r>
        <w:rPr>
          <w:rFonts w:ascii="Times New Roman" w:hAnsi="Times New Roman" w:cs="Times New Roman"/>
          <w:sz w:val="26"/>
          <w:szCs w:val="26"/>
        </w:rPr>
        <w:t xml:space="preserve">&amp; </w:t>
      </w:r>
      <w:r w:rsidRPr="00816C6E">
        <w:rPr>
          <w:rFonts w:ascii="Times New Roman" w:hAnsi="Times New Roman" w:cs="Times New Roman"/>
          <w:sz w:val="26"/>
          <w:szCs w:val="26"/>
        </w:rPr>
        <w:t xml:space="preserve">Rahman, Z. (2020). Brand engagement and experience in online services. </w:t>
      </w:r>
      <w:r w:rsidRPr="00816C6E">
        <w:rPr>
          <w:rFonts w:ascii="Times New Roman" w:hAnsi="Times New Roman" w:cs="Times New Roman"/>
          <w:i/>
          <w:iCs/>
          <w:sz w:val="26"/>
          <w:szCs w:val="26"/>
        </w:rPr>
        <w:t>Journal of Services Marketing,</w:t>
      </w:r>
      <w:r w:rsidRPr="003148D2">
        <w:rPr>
          <w:rFonts w:ascii="Times New Roman" w:hAnsi="Times New Roman" w:cs="Times New Roman"/>
          <w:i/>
          <w:iCs/>
          <w:sz w:val="26"/>
          <w:szCs w:val="26"/>
        </w:rPr>
        <w:t xml:space="preserve"> 34</w:t>
      </w:r>
      <w:r w:rsidRPr="00816C6E">
        <w:rPr>
          <w:rFonts w:ascii="Times New Roman" w:hAnsi="Times New Roman" w:cs="Times New Roman"/>
          <w:sz w:val="26"/>
          <w:szCs w:val="26"/>
        </w:rPr>
        <w:t>(2), 163</w:t>
      </w:r>
      <w:bookmarkStart w:id="1" w:name="_Hlk238414370"/>
      <w:r w:rsidRPr="00816C6E">
        <w:rPr>
          <w:rFonts w:ascii="Times New Roman" w:hAnsi="Times New Roman" w:cs="Times New Roman"/>
          <w:sz w:val="26"/>
          <w:szCs w:val="26"/>
        </w:rPr>
        <w:t>–</w:t>
      </w:r>
      <w:bookmarkEnd w:id="1"/>
      <w:r w:rsidRPr="00816C6E">
        <w:rPr>
          <w:rFonts w:ascii="Times New Roman" w:hAnsi="Times New Roman" w:cs="Times New Roman"/>
          <w:sz w:val="26"/>
          <w:szCs w:val="26"/>
        </w:rPr>
        <w:t xml:space="preserve">175. https://doi.org/10.1108/jsm-03-2019-0106     </w:t>
      </w:r>
    </w:p>
    <w:p w14:paraId="038E7441"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Kuvykaite, R., &amp; Piligrimiene, Z. (2014). Consumer engagement into brand equity creation. </w:t>
      </w:r>
      <w:r w:rsidRPr="00816C6E">
        <w:rPr>
          <w:rFonts w:ascii="Times New Roman" w:hAnsi="Times New Roman" w:cs="Times New Roman"/>
          <w:i/>
          <w:iCs/>
          <w:sz w:val="26"/>
          <w:szCs w:val="26"/>
        </w:rPr>
        <w:t>Procedia-Social and Behavioral Sciences,</w:t>
      </w:r>
      <w:r w:rsidRPr="003148D2">
        <w:rPr>
          <w:rFonts w:ascii="Times New Roman" w:hAnsi="Times New Roman" w:cs="Times New Roman"/>
          <w:i/>
          <w:iCs/>
          <w:sz w:val="26"/>
          <w:szCs w:val="26"/>
        </w:rPr>
        <w:t xml:space="preserve"> 156</w:t>
      </w:r>
      <w:r w:rsidRPr="00816C6E">
        <w:rPr>
          <w:rFonts w:ascii="Times New Roman" w:hAnsi="Times New Roman" w:cs="Times New Roman"/>
          <w:sz w:val="26"/>
          <w:szCs w:val="26"/>
        </w:rPr>
        <w:t>, 479</w:t>
      </w:r>
      <w:r w:rsidRPr="00816C6E">
        <w:rPr>
          <w:rFonts w:ascii="Times New Roman" w:hAnsi="Times New Roman" w:cs="Times New Roman" w:hint="eastAsia"/>
          <w:sz w:val="26"/>
          <w:szCs w:val="26"/>
        </w:rPr>
        <w:t>–</w:t>
      </w:r>
      <w:r w:rsidRPr="00816C6E">
        <w:rPr>
          <w:rFonts w:ascii="Times New Roman" w:hAnsi="Times New Roman" w:cs="Times New Roman"/>
          <w:sz w:val="26"/>
          <w:szCs w:val="26"/>
        </w:rPr>
        <w:t>483. https://doi.org/10.1016/j.sbspro.2014.11.225</w:t>
      </w:r>
    </w:p>
    <w:p w14:paraId="0B0E8954"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Mary Metilda, R., &amp; Grace Antony Rose, A. (2021). Effects of customer brand engagement and online brand experience: An empirical research. In </w:t>
      </w:r>
      <w:r w:rsidRPr="00816C6E">
        <w:rPr>
          <w:rFonts w:ascii="Times New Roman" w:hAnsi="Times New Roman" w:cs="Times New Roman"/>
          <w:i/>
          <w:iCs/>
          <w:sz w:val="26"/>
          <w:szCs w:val="26"/>
        </w:rPr>
        <w:t>Proceedings of 2nd EAI International Conference on Big Data Innovation for Sustainable Cognitive Computing: BDCC 2019</w:t>
      </w:r>
      <w:r w:rsidRPr="00816C6E">
        <w:rPr>
          <w:rFonts w:ascii="Times New Roman" w:hAnsi="Times New Roman" w:cs="Times New Roman"/>
          <w:sz w:val="26"/>
          <w:szCs w:val="26"/>
        </w:rPr>
        <w:t xml:space="preserve"> (pp. 191–201). Springer International Publishing. https://doi.org/10.1007/978-3-030-47560-4_15</w:t>
      </w:r>
    </w:p>
    <w:p w14:paraId="47B71955"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Meirani, M.</w:t>
      </w:r>
      <w:r w:rsidRPr="0028504B">
        <w:rPr>
          <w:rFonts w:ascii="Times New Roman" w:hAnsi="Times New Roman" w:cs="Times New Roman"/>
          <w:sz w:val="26"/>
          <w:szCs w:val="26"/>
        </w:rPr>
        <w:t>, &amp; Abror.</w:t>
      </w:r>
      <w:r w:rsidRPr="00816C6E">
        <w:rPr>
          <w:rFonts w:ascii="Times New Roman" w:hAnsi="Times New Roman" w:cs="Times New Roman"/>
          <w:sz w:val="26"/>
          <w:szCs w:val="26"/>
        </w:rPr>
        <w:t xml:space="preserve"> (2019). Effect of customer brand engagement, customer satisfaction and brand love, to customer-based brand equity on brand Honda motorcycle in Faculty of Economic in Universitas Negeri Padang. In </w:t>
      </w:r>
      <w:r w:rsidRPr="00816C6E">
        <w:rPr>
          <w:rFonts w:ascii="Times New Roman" w:hAnsi="Times New Roman" w:cs="Times New Roman"/>
          <w:i/>
          <w:iCs/>
          <w:sz w:val="26"/>
          <w:szCs w:val="26"/>
        </w:rPr>
        <w:t>Proceedings of the Third Padang International Conference on Economics Education, Economics, Business and Management, Accounting and Entrepreneurship (PICEEBA 2019)</w:t>
      </w:r>
      <w:r w:rsidRPr="00816C6E">
        <w:rPr>
          <w:rFonts w:ascii="Times New Roman" w:hAnsi="Times New Roman" w:cs="Times New Roman"/>
          <w:sz w:val="26"/>
          <w:szCs w:val="26"/>
        </w:rPr>
        <w:t xml:space="preserve"> (pp. 485-496). Atlantis Press. https://doi.org/10.2991/piceeba-19.2019.40</w:t>
      </w:r>
    </w:p>
    <w:p w14:paraId="5653A619"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Merdiaty, N., &amp; Aldrin, N. (2022). Effect of brand experience on customer engagement through quality services of online sellers to students in Bekasi. </w:t>
      </w:r>
      <w:r w:rsidRPr="00816C6E">
        <w:rPr>
          <w:rFonts w:ascii="Times New Roman" w:hAnsi="Times New Roman" w:cs="Times New Roman"/>
          <w:i/>
          <w:iCs/>
          <w:sz w:val="26"/>
          <w:szCs w:val="26"/>
        </w:rPr>
        <w:t>Frontiers in Psychology, 12</w:t>
      </w:r>
      <w:r w:rsidRPr="00816C6E">
        <w:rPr>
          <w:rFonts w:ascii="Times New Roman" w:hAnsi="Times New Roman" w:cs="Times New Roman"/>
          <w:sz w:val="26"/>
          <w:szCs w:val="26"/>
        </w:rPr>
        <w:t>, 801439. https://doi.org/10.3389/fpsyg.2021.801439</w:t>
      </w:r>
    </w:p>
    <w:p w14:paraId="6217ED37"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Molinillo, S., Anaya-Sánchez, R., &amp; Liébana-Cabanillas, F. (2020). Analyzing the effect of social support and community factors on customer engagement and its impact on loyalty behaviors toward social commerce websites. C</w:t>
      </w:r>
      <w:r w:rsidRPr="00816C6E">
        <w:rPr>
          <w:rFonts w:ascii="Times New Roman" w:hAnsi="Times New Roman" w:cs="Times New Roman"/>
          <w:i/>
          <w:iCs/>
          <w:sz w:val="26"/>
          <w:szCs w:val="26"/>
        </w:rPr>
        <w:t>omputer</w:t>
      </w:r>
      <w:r>
        <w:rPr>
          <w:rFonts w:ascii="Times New Roman" w:hAnsi="Times New Roman" w:cs="Times New Roman" w:hint="eastAsia"/>
          <w:i/>
          <w:iCs/>
          <w:sz w:val="26"/>
          <w:szCs w:val="26"/>
          <w:lang w:eastAsia="zh-TW"/>
        </w:rPr>
        <w:t>s</w:t>
      </w:r>
      <w:r w:rsidRPr="00816C6E">
        <w:rPr>
          <w:rFonts w:ascii="Times New Roman" w:hAnsi="Times New Roman" w:cs="Times New Roman"/>
          <w:i/>
          <w:iCs/>
          <w:sz w:val="26"/>
          <w:szCs w:val="26"/>
        </w:rPr>
        <w:t xml:space="preserve"> in Human Behavior,</w:t>
      </w:r>
      <w:r w:rsidRPr="003148D2">
        <w:rPr>
          <w:rFonts w:ascii="Times New Roman" w:hAnsi="Times New Roman" w:cs="Times New Roman"/>
          <w:i/>
          <w:iCs/>
          <w:sz w:val="26"/>
          <w:szCs w:val="26"/>
        </w:rPr>
        <w:t xml:space="preserve"> 108</w:t>
      </w:r>
      <w:r w:rsidRPr="00816C6E">
        <w:rPr>
          <w:rFonts w:ascii="Times New Roman" w:hAnsi="Times New Roman" w:cs="Times New Roman"/>
          <w:sz w:val="26"/>
          <w:szCs w:val="26"/>
        </w:rPr>
        <w:t>, 105980. https://doi.org/10.1016/j.chb.2019.04.004</w:t>
      </w:r>
    </w:p>
    <w:p w14:paraId="4AF4328B"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Na, M., Rong, L., Ali, M.</w:t>
      </w:r>
      <w:r>
        <w:rPr>
          <w:rFonts w:ascii="Times New Roman" w:hAnsi="Times New Roman" w:cs="Times New Roman"/>
          <w:sz w:val="26"/>
          <w:szCs w:val="26"/>
        </w:rPr>
        <w:t xml:space="preserve"> H.</w:t>
      </w:r>
      <w:r w:rsidRPr="00816C6E">
        <w:rPr>
          <w:rFonts w:ascii="Times New Roman" w:hAnsi="Times New Roman" w:cs="Times New Roman"/>
          <w:sz w:val="26"/>
          <w:szCs w:val="26"/>
        </w:rPr>
        <w:t xml:space="preserve">, Alam, S. S., Masukujjaman, M., &amp; Ali, K. A. M. (2023). The mediating role of brand trust and brand love between brand experience and loyalty: A study on smartphones in China. </w:t>
      </w:r>
      <w:r w:rsidRPr="00816C6E">
        <w:rPr>
          <w:rFonts w:ascii="Times New Roman" w:hAnsi="Times New Roman" w:cs="Times New Roman"/>
          <w:i/>
          <w:iCs/>
          <w:sz w:val="26"/>
          <w:szCs w:val="26"/>
        </w:rPr>
        <w:t>Behavioral Sciences, 13</w:t>
      </w:r>
      <w:r w:rsidRPr="00816C6E">
        <w:rPr>
          <w:rFonts w:ascii="Times New Roman" w:hAnsi="Times New Roman" w:cs="Times New Roman"/>
          <w:sz w:val="26"/>
          <w:szCs w:val="26"/>
        </w:rPr>
        <w:t>(6), 502. https://doi.org/10.3390/bs13060502</w:t>
      </w:r>
    </w:p>
    <w:p w14:paraId="1543D6FD"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Nadeem, W., Tan, T. M., Tajvidi, M., &amp; Hajli, N. (2021). How do experiences enhance brand relationship performance and value co-creation in social commerce? The role of consumer engagement and self brand-connection. </w:t>
      </w:r>
      <w:r w:rsidRPr="00816C6E">
        <w:rPr>
          <w:rFonts w:ascii="Times New Roman" w:hAnsi="Times New Roman" w:cs="Times New Roman"/>
          <w:i/>
          <w:iCs/>
          <w:sz w:val="26"/>
          <w:szCs w:val="26"/>
        </w:rPr>
        <w:t>Technological Forecasting and Social Change, 171</w:t>
      </w:r>
      <w:r w:rsidRPr="00816C6E">
        <w:rPr>
          <w:rFonts w:ascii="Times New Roman" w:hAnsi="Times New Roman" w:cs="Times New Roman"/>
          <w:sz w:val="26"/>
          <w:szCs w:val="26"/>
        </w:rPr>
        <w:t>, 120952. https://doi.org/10.1016/j.techfore.2021.120952</w:t>
      </w:r>
    </w:p>
    <w:p w14:paraId="669B6F3D" w14:textId="270A13EF"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Perera, C. H., Nguyen, L. T. V., &amp; Nayak, R. (2023). Brand engagement on social media and its impact on brand equity in higher education: </w:t>
      </w:r>
      <w:r w:rsidR="006A0B04" w:rsidRPr="00816C6E">
        <w:rPr>
          <w:rFonts w:ascii="Times New Roman" w:hAnsi="Times New Roman" w:cs="Times New Roman"/>
          <w:sz w:val="26"/>
          <w:szCs w:val="26"/>
        </w:rPr>
        <w:t xml:space="preserve">Integrating </w:t>
      </w:r>
      <w:r w:rsidRPr="00816C6E">
        <w:rPr>
          <w:rFonts w:ascii="Times New Roman" w:hAnsi="Times New Roman" w:cs="Times New Roman"/>
          <w:sz w:val="26"/>
          <w:szCs w:val="26"/>
        </w:rPr>
        <w:t xml:space="preserve">the social identity perspective. </w:t>
      </w:r>
      <w:r w:rsidRPr="00816C6E">
        <w:rPr>
          <w:rFonts w:ascii="Times New Roman" w:hAnsi="Times New Roman" w:cs="Times New Roman"/>
          <w:i/>
          <w:iCs/>
          <w:sz w:val="26"/>
          <w:szCs w:val="26"/>
        </w:rPr>
        <w:t>International Journal of Educational Management, 37</w:t>
      </w:r>
      <w:r w:rsidRPr="00816C6E">
        <w:rPr>
          <w:rFonts w:ascii="Times New Roman" w:hAnsi="Times New Roman" w:cs="Times New Roman"/>
          <w:sz w:val="26"/>
          <w:szCs w:val="26"/>
        </w:rPr>
        <w:t>(6-7), 1335–1359. https://doi.org/10.1108/ijem-05-2023-0260</w:t>
      </w:r>
    </w:p>
    <w:p w14:paraId="7407745D"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Prentice, C., Wang, X., &amp; Loureiro, S. M. C. (2019). The influence of brand experience and service quality on customer engagement. </w:t>
      </w:r>
      <w:r w:rsidRPr="00816C6E">
        <w:rPr>
          <w:rFonts w:ascii="Times New Roman" w:hAnsi="Times New Roman" w:cs="Times New Roman"/>
          <w:i/>
          <w:iCs/>
          <w:sz w:val="26"/>
          <w:szCs w:val="26"/>
        </w:rPr>
        <w:t>Journal of Retailing and Consumer Services</w:t>
      </w:r>
      <w:r>
        <w:rPr>
          <w:rFonts w:ascii="Times New Roman" w:hAnsi="Times New Roman" w:cs="Times New Roman" w:hint="eastAsia"/>
          <w:i/>
          <w:iCs/>
          <w:sz w:val="26"/>
          <w:szCs w:val="26"/>
          <w:lang w:eastAsia="zh-TW"/>
        </w:rPr>
        <w:t>,</w:t>
      </w:r>
      <w:r w:rsidRPr="001F7877">
        <w:rPr>
          <w:rFonts w:ascii="Times New Roman" w:hAnsi="Times New Roman" w:cs="Times New Roman"/>
          <w:i/>
          <w:iCs/>
          <w:sz w:val="26"/>
          <w:szCs w:val="26"/>
        </w:rPr>
        <w:t xml:space="preserve"> 50</w:t>
      </w:r>
      <w:r w:rsidRPr="00816C6E">
        <w:rPr>
          <w:rFonts w:ascii="Times New Roman" w:hAnsi="Times New Roman" w:cs="Times New Roman"/>
          <w:sz w:val="26"/>
          <w:szCs w:val="26"/>
        </w:rPr>
        <w:t>, 50–59. https://doi.org/10.1016/j.jretconser.2019.04.020</w:t>
      </w:r>
    </w:p>
    <w:p w14:paraId="5D0801A1"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Rahardja, U., Hongsuchon, T., Hariguna, T., &amp; Ruangkanjanases, A. (2021). Understanding impact sustainable intention of s-commerce activities: The role of customer experiences, perceived value, and mediation of relationship quality. </w:t>
      </w:r>
      <w:r w:rsidRPr="00816C6E">
        <w:rPr>
          <w:rFonts w:ascii="Times New Roman" w:hAnsi="Times New Roman" w:cs="Times New Roman"/>
          <w:i/>
          <w:iCs/>
          <w:sz w:val="26"/>
          <w:szCs w:val="26"/>
        </w:rPr>
        <w:t>Sustainability, 13</w:t>
      </w:r>
      <w:r w:rsidRPr="00816C6E">
        <w:rPr>
          <w:rFonts w:ascii="Times New Roman" w:hAnsi="Times New Roman" w:cs="Times New Roman"/>
          <w:sz w:val="26"/>
          <w:szCs w:val="26"/>
        </w:rPr>
        <w:t>(20), 11492. https://doi.org/10.3390/su132011492</w:t>
      </w:r>
    </w:p>
    <w:p w14:paraId="1733626B" w14:textId="083F5A6B"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Rather, R.</w:t>
      </w:r>
      <w:r>
        <w:rPr>
          <w:rFonts w:ascii="Times New Roman" w:hAnsi="Times New Roman" w:cs="Times New Roman"/>
          <w:sz w:val="26"/>
          <w:szCs w:val="26"/>
        </w:rPr>
        <w:t xml:space="preserve"> A.</w:t>
      </w:r>
      <w:r w:rsidRPr="00816C6E">
        <w:rPr>
          <w:rFonts w:ascii="Times New Roman" w:hAnsi="Times New Roman" w:cs="Times New Roman"/>
          <w:sz w:val="26"/>
          <w:szCs w:val="26"/>
        </w:rPr>
        <w:t xml:space="preserve">, Rasul, T., Khan, H., &amp; Khan, I. (2024). Unveiling the dynamics between consumer brand engagement, experience, and relationship quality towards luxury hotel brands: Moderating investigation of brand reputation. </w:t>
      </w:r>
      <w:r w:rsidRPr="00816C6E">
        <w:rPr>
          <w:rFonts w:ascii="Times New Roman" w:hAnsi="Times New Roman" w:cs="Times New Roman"/>
          <w:i/>
          <w:iCs/>
          <w:sz w:val="26"/>
          <w:szCs w:val="26"/>
        </w:rPr>
        <w:t>International Journal of Hospitality Management, 116</w:t>
      </w:r>
      <w:r w:rsidRPr="00816C6E">
        <w:rPr>
          <w:rFonts w:ascii="Times New Roman" w:hAnsi="Times New Roman" w:cs="Times New Roman"/>
          <w:sz w:val="26"/>
          <w:szCs w:val="26"/>
        </w:rPr>
        <w:t>, 103572.</w:t>
      </w:r>
      <w:r w:rsidR="006A0B04">
        <w:rPr>
          <w:rFonts w:ascii="Times New Roman" w:hAnsi="Times New Roman" w:cs="Times New Roman"/>
          <w:sz w:val="26"/>
          <w:szCs w:val="26"/>
        </w:rPr>
        <w:t xml:space="preserve"> </w:t>
      </w:r>
      <w:r w:rsidRPr="00816C6E">
        <w:rPr>
          <w:rFonts w:ascii="Times New Roman" w:hAnsi="Times New Roman" w:cs="Times New Roman"/>
          <w:sz w:val="26"/>
          <w:szCs w:val="26"/>
        </w:rPr>
        <w:t>https://doi.org/10.1016/j.ijhm.2023.103572</w:t>
      </w:r>
    </w:p>
    <w:p w14:paraId="2953700D"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Rawangngam, N., Pongsakornrungsilp, P., Siriwong, C., Ketkaew, K., Tonsakunthaweeteam, S., &amp; Kumar, V. (2025). Social media and consumer engagement: A bibliometric analysis and future research directions. </w:t>
      </w:r>
      <w:r w:rsidRPr="00816C6E">
        <w:rPr>
          <w:rFonts w:ascii="Times New Roman" w:hAnsi="Times New Roman" w:cs="Times New Roman"/>
          <w:i/>
          <w:iCs/>
          <w:sz w:val="26"/>
          <w:szCs w:val="26"/>
        </w:rPr>
        <w:t>Innovative Marketing, 21</w:t>
      </w:r>
      <w:r w:rsidRPr="00816C6E">
        <w:rPr>
          <w:rFonts w:ascii="Times New Roman" w:hAnsi="Times New Roman" w:cs="Times New Roman"/>
          <w:sz w:val="26"/>
          <w:szCs w:val="26"/>
        </w:rPr>
        <w:t>(3), 197–214. https://doi.org/10.21511/im.21(3).2025.15</w:t>
      </w:r>
    </w:p>
    <w:p w14:paraId="00FE59A6"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Rochefort, T., &amp; Ndlovu, Z. (2024). Digital marketing strategies in building brand awareness and loyalty in the online era. </w:t>
      </w:r>
      <w:r w:rsidRPr="00816C6E">
        <w:rPr>
          <w:rFonts w:ascii="Times New Roman" w:hAnsi="Times New Roman" w:cs="Times New Roman"/>
          <w:i/>
          <w:iCs/>
          <w:sz w:val="26"/>
          <w:szCs w:val="26"/>
        </w:rPr>
        <w:t>Startupreneur Business Digital (SABDA Journal), 3</w:t>
      </w:r>
      <w:r w:rsidRPr="00816C6E">
        <w:rPr>
          <w:rFonts w:ascii="Times New Roman" w:hAnsi="Times New Roman" w:cs="Times New Roman"/>
          <w:sz w:val="26"/>
          <w:szCs w:val="26"/>
        </w:rPr>
        <w:t>(2), 107–114. https://doi.org/10.33050/sabda.v3i2.539</w:t>
      </w:r>
    </w:p>
    <w:p w14:paraId="38C1EE40"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Rosário, A., &amp; Raimundo, R. (2021). Consumer marketing strategy and e-commerce in the last decade: A literature review. </w:t>
      </w:r>
      <w:r w:rsidRPr="00816C6E">
        <w:rPr>
          <w:rFonts w:ascii="Times New Roman" w:hAnsi="Times New Roman" w:cs="Times New Roman"/>
          <w:i/>
          <w:iCs/>
          <w:sz w:val="26"/>
          <w:szCs w:val="26"/>
        </w:rPr>
        <w:t>Journal of Theoretical and Applied Electronic Commerce Research</w:t>
      </w:r>
      <w:r w:rsidRPr="00816C6E">
        <w:rPr>
          <w:rFonts w:ascii="Times New Roman" w:hAnsi="Times New Roman" w:cs="Times New Roman"/>
          <w:sz w:val="26"/>
          <w:szCs w:val="26"/>
        </w:rPr>
        <w:t>,</w:t>
      </w:r>
      <w:r w:rsidRPr="00816C6E">
        <w:rPr>
          <w:rFonts w:ascii="Times New Roman" w:hAnsi="Times New Roman" w:cs="Times New Roman"/>
          <w:i/>
          <w:iCs/>
          <w:sz w:val="26"/>
          <w:szCs w:val="26"/>
        </w:rPr>
        <w:t xml:space="preserve"> 16</w:t>
      </w:r>
      <w:r w:rsidRPr="00816C6E">
        <w:rPr>
          <w:rFonts w:ascii="Times New Roman" w:hAnsi="Times New Roman" w:cs="Times New Roman"/>
          <w:sz w:val="26"/>
          <w:szCs w:val="26"/>
        </w:rPr>
        <w:t>(7), 3003-3024. https://doi.org/10.3390/jtaer16070164</w:t>
      </w:r>
    </w:p>
    <w:p w14:paraId="02DDE8E4"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Rungtrakulchai, R. (2022). The impacts of customer engagement on brand equity in e-commerce. </w:t>
      </w:r>
      <w:r w:rsidRPr="00816C6E">
        <w:rPr>
          <w:rFonts w:ascii="Times New Roman" w:hAnsi="Times New Roman" w:cs="Times New Roman"/>
          <w:i/>
          <w:iCs/>
          <w:sz w:val="26"/>
          <w:szCs w:val="26"/>
        </w:rPr>
        <w:t>Journal of Business Administration and Languages (JBAL)</w:t>
      </w:r>
      <w:r w:rsidRPr="00816C6E">
        <w:rPr>
          <w:rFonts w:ascii="Times New Roman" w:hAnsi="Times New Roman" w:cs="Times New Roman"/>
          <w:sz w:val="26"/>
          <w:szCs w:val="26"/>
        </w:rPr>
        <w:t>, 10(1), 94–104.</w:t>
      </w:r>
    </w:p>
    <w:p w14:paraId="163C3764"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Sang, V. M., &amp; Cuong, M. C. (2025). The influence of brand experience on brand loyalty in the electronic commerce sector: The mediating effect of brand association and brand trust. </w:t>
      </w:r>
      <w:r w:rsidRPr="00816C6E">
        <w:rPr>
          <w:rFonts w:ascii="Times New Roman" w:hAnsi="Times New Roman" w:cs="Times New Roman"/>
          <w:i/>
          <w:iCs/>
          <w:sz w:val="26"/>
          <w:szCs w:val="26"/>
        </w:rPr>
        <w:t>Cogent Business &amp; Management, 12</w:t>
      </w:r>
      <w:r w:rsidRPr="00816C6E">
        <w:rPr>
          <w:rFonts w:ascii="Times New Roman" w:hAnsi="Times New Roman" w:cs="Times New Roman"/>
          <w:sz w:val="26"/>
          <w:szCs w:val="26"/>
        </w:rPr>
        <w:t>(1), 2440629</w:t>
      </w:r>
      <w:r w:rsidRPr="00816C6E">
        <w:rPr>
          <w:rFonts w:ascii="Times New Roman" w:hAnsi="Times New Roman" w:cs="Times New Roman"/>
          <w:i/>
          <w:iCs/>
          <w:sz w:val="26"/>
          <w:szCs w:val="26"/>
        </w:rPr>
        <w:t>.</w:t>
      </w:r>
      <w:r w:rsidRPr="00816C6E">
        <w:rPr>
          <w:rFonts w:ascii="Times New Roman" w:hAnsi="Times New Roman" w:cs="Times New Roman"/>
          <w:sz w:val="26"/>
          <w:szCs w:val="26"/>
        </w:rPr>
        <w:t xml:space="preserve"> https://doi.org/10.1080/23311975.2024.2440629</w:t>
      </w:r>
    </w:p>
    <w:p w14:paraId="1F25B287" w14:textId="1623D79F"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Saulite, L. (2022). News media brand equity in a new media environment. </w:t>
      </w:r>
      <w:r w:rsidRPr="00816C6E">
        <w:rPr>
          <w:rFonts w:ascii="Times New Roman" w:hAnsi="Times New Roman" w:cs="Times New Roman"/>
          <w:i/>
          <w:iCs/>
          <w:sz w:val="26"/>
          <w:szCs w:val="26"/>
        </w:rPr>
        <w:t>Economics and Business</w:t>
      </w:r>
      <w:r>
        <w:rPr>
          <w:rFonts w:ascii="Times New Roman" w:hAnsi="Times New Roman" w:cs="Times New Roman"/>
          <w:i/>
          <w:iCs/>
          <w:sz w:val="26"/>
          <w:szCs w:val="26"/>
        </w:rPr>
        <w:t>,</w:t>
      </w:r>
      <w:r w:rsidRPr="00816C6E">
        <w:rPr>
          <w:rFonts w:ascii="Times New Roman" w:hAnsi="Times New Roman" w:cs="Times New Roman"/>
          <w:i/>
          <w:iCs/>
          <w:sz w:val="26"/>
          <w:szCs w:val="26"/>
        </w:rPr>
        <w:t xml:space="preserve"> 36</w:t>
      </w:r>
      <w:r w:rsidRPr="00816C6E">
        <w:rPr>
          <w:rFonts w:ascii="Times New Roman" w:hAnsi="Times New Roman" w:cs="Times New Roman"/>
          <w:sz w:val="26"/>
          <w:szCs w:val="26"/>
        </w:rPr>
        <w:t>(1), 199–210. https://doi.org/10.2478/eb-2022-0013</w:t>
      </w:r>
    </w:p>
    <w:p w14:paraId="043E9C32" w14:textId="2EDE1B24"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Shen, X.</w:t>
      </w:r>
      <w:r>
        <w:rPr>
          <w:rFonts w:ascii="Times New Roman" w:hAnsi="Times New Roman" w:cs="Times New Roman"/>
          <w:sz w:val="26"/>
          <w:szCs w:val="26"/>
        </w:rPr>
        <w:t>-</w:t>
      </w:r>
      <w:r w:rsidRPr="00816C6E">
        <w:rPr>
          <w:rFonts w:ascii="Times New Roman" w:hAnsi="Times New Roman" w:cs="Times New Roman"/>
          <w:sz w:val="26"/>
          <w:szCs w:val="26"/>
        </w:rPr>
        <w:t>L., Li, Y</w:t>
      </w:r>
      <w:r w:rsidR="0069462D">
        <w:rPr>
          <w:rFonts w:ascii="Times New Roman" w:hAnsi="Times New Roman" w:cs="Times New Roman"/>
          <w:sz w:val="26"/>
          <w:szCs w:val="26"/>
        </w:rPr>
        <w:t>.</w:t>
      </w:r>
      <w:r>
        <w:rPr>
          <w:rFonts w:ascii="Times New Roman" w:hAnsi="Times New Roman" w:cs="Times New Roman"/>
          <w:sz w:val="26"/>
          <w:szCs w:val="26"/>
        </w:rPr>
        <w:t>-</w:t>
      </w:r>
      <w:r w:rsidRPr="00816C6E">
        <w:rPr>
          <w:rFonts w:ascii="Times New Roman" w:hAnsi="Times New Roman" w:cs="Times New Roman"/>
          <w:sz w:val="26"/>
          <w:szCs w:val="26"/>
        </w:rPr>
        <w:t xml:space="preserve">J., Sun, Y., Chen, Z., &amp; Wang, F. (2019). Understanding the role of technology attractiveness in promoting social commerce engagement: Moderating effect of personal interest. </w:t>
      </w:r>
      <w:r w:rsidRPr="00816C6E">
        <w:rPr>
          <w:rFonts w:ascii="Times New Roman" w:hAnsi="Times New Roman" w:cs="Times New Roman"/>
          <w:i/>
          <w:iCs/>
          <w:sz w:val="26"/>
          <w:szCs w:val="26"/>
        </w:rPr>
        <w:t>Information &amp; Management,</w:t>
      </w:r>
      <w:r w:rsidRPr="00C251D6">
        <w:rPr>
          <w:rFonts w:ascii="Times New Roman" w:hAnsi="Times New Roman" w:cs="Times New Roman"/>
          <w:i/>
          <w:iCs/>
          <w:sz w:val="26"/>
          <w:szCs w:val="26"/>
        </w:rPr>
        <w:t xml:space="preserve"> 56</w:t>
      </w:r>
      <w:r w:rsidRPr="00816C6E">
        <w:rPr>
          <w:rFonts w:ascii="Times New Roman" w:hAnsi="Times New Roman" w:cs="Times New Roman"/>
          <w:sz w:val="26"/>
          <w:szCs w:val="26"/>
        </w:rPr>
        <w:t>(2), 294–305. https://doi.org/10.1016/j.im.2018.09.006</w:t>
      </w:r>
    </w:p>
    <w:p w14:paraId="70FAD1A6"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Sohaib, M., Mlynarski, J., &amp; Wu, R. (2023). Building brand equity: The impact of brand experience, brand love, and brand engagement—A case study of customers’ perception of the Apple brand in China. </w:t>
      </w:r>
      <w:r w:rsidRPr="00816C6E">
        <w:rPr>
          <w:rFonts w:ascii="Times New Roman" w:hAnsi="Times New Roman" w:cs="Times New Roman"/>
          <w:i/>
          <w:iCs/>
          <w:sz w:val="26"/>
          <w:szCs w:val="26"/>
        </w:rPr>
        <w:t>Sustainability, 15</w:t>
      </w:r>
      <w:r w:rsidRPr="00816C6E">
        <w:rPr>
          <w:rFonts w:ascii="Times New Roman" w:hAnsi="Times New Roman" w:cs="Times New Roman"/>
          <w:sz w:val="26"/>
          <w:szCs w:val="26"/>
        </w:rPr>
        <w:t>(1), 746. https://doi.org/10.3390/su15010746</w:t>
      </w:r>
    </w:p>
    <w:p w14:paraId="6149C2F1" w14:textId="451EBF3E"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Steinhoff, L., Arli, D., Weaven, S., </w:t>
      </w:r>
      <w:r>
        <w:rPr>
          <w:rFonts w:ascii="Times New Roman" w:hAnsi="Times New Roman" w:cs="Times New Roman"/>
          <w:sz w:val="26"/>
          <w:szCs w:val="26"/>
        </w:rPr>
        <w:t xml:space="preserve">&amp; </w:t>
      </w:r>
      <w:r w:rsidRPr="00816C6E">
        <w:rPr>
          <w:rFonts w:ascii="Times New Roman" w:hAnsi="Times New Roman" w:cs="Times New Roman"/>
          <w:sz w:val="26"/>
          <w:szCs w:val="26"/>
        </w:rPr>
        <w:t>Kozlenkova, I. V. (201</w:t>
      </w:r>
      <w:r w:rsidRPr="00816C6E">
        <w:rPr>
          <w:rFonts w:ascii="Times New Roman" w:hAnsi="Times New Roman" w:cs="Times New Roman"/>
          <w:sz w:val="26"/>
          <w:szCs w:val="26"/>
          <w:lang w:eastAsia="zh-TW"/>
        </w:rPr>
        <w:t>9</w:t>
      </w:r>
      <w:r w:rsidRPr="00816C6E">
        <w:rPr>
          <w:rFonts w:ascii="Times New Roman" w:hAnsi="Times New Roman" w:cs="Times New Roman"/>
          <w:sz w:val="26"/>
          <w:szCs w:val="26"/>
        </w:rPr>
        <w:t xml:space="preserve">). Online relationship marketing. </w:t>
      </w:r>
      <w:r w:rsidRPr="00816C6E">
        <w:rPr>
          <w:rFonts w:ascii="Times New Roman" w:hAnsi="Times New Roman" w:cs="Times New Roman"/>
          <w:i/>
          <w:iCs/>
          <w:sz w:val="26"/>
          <w:szCs w:val="26"/>
          <w:lang w:eastAsia="zh-TW"/>
        </w:rPr>
        <w:t>J</w:t>
      </w:r>
      <w:r w:rsidRPr="00816C6E">
        <w:rPr>
          <w:rFonts w:ascii="Times New Roman" w:hAnsi="Times New Roman" w:cs="Times New Roman"/>
          <w:i/>
          <w:iCs/>
          <w:sz w:val="26"/>
          <w:szCs w:val="26"/>
        </w:rPr>
        <w:t>ournal of the Academy of Marketing Science, 47</w:t>
      </w:r>
      <w:r w:rsidRPr="00816C6E">
        <w:rPr>
          <w:rFonts w:ascii="Times New Roman" w:hAnsi="Times New Roman" w:cs="Times New Roman"/>
          <w:sz w:val="26"/>
          <w:szCs w:val="26"/>
        </w:rPr>
        <w:t>(3), 369–393.</w:t>
      </w:r>
      <w:r>
        <w:rPr>
          <w:rFonts w:ascii="Times New Roman" w:hAnsi="Times New Roman" w:cs="Times New Roman"/>
          <w:sz w:val="26"/>
          <w:szCs w:val="26"/>
        </w:rPr>
        <w:t xml:space="preserve"> </w:t>
      </w:r>
      <w:r w:rsidRPr="00816C6E">
        <w:rPr>
          <w:rFonts w:ascii="Times New Roman" w:hAnsi="Times New Roman" w:cs="Times New Roman"/>
          <w:sz w:val="26"/>
          <w:szCs w:val="26"/>
        </w:rPr>
        <w:t xml:space="preserve">https://doi.org/10.1007/s11747-018-0621-6 </w:t>
      </w:r>
    </w:p>
    <w:p w14:paraId="65C87848" w14:textId="23D40BFD"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Sun, T., &amp; Drasgow, F. (2021). </w:t>
      </w:r>
      <w:r w:rsidRPr="00816C6E">
        <w:rPr>
          <w:rFonts w:ascii="Times New Roman" w:hAnsi="Times New Roman" w:cs="Times New Roman"/>
          <w:i/>
          <w:iCs/>
          <w:sz w:val="26"/>
          <w:szCs w:val="26"/>
        </w:rPr>
        <w:t>Forced choice to overcome the cross-cultural response style bias problem</w:t>
      </w:r>
      <w:r w:rsidRPr="00816C6E">
        <w:rPr>
          <w:rFonts w:ascii="Times New Roman" w:hAnsi="Times New Roman" w:cs="Times New Roman"/>
          <w:sz w:val="26"/>
          <w:szCs w:val="26"/>
        </w:rPr>
        <w:t xml:space="preserve">. </w:t>
      </w:r>
      <w:r w:rsidRPr="008D042F">
        <w:rPr>
          <w:rFonts w:ascii="Times New Roman" w:hAnsi="Times New Roman" w:cs="Times New Roman"/>
          <w:sz w:val="26"/>
          <w:szCs w:val="26"/>
        </w:rPr>
        <w:t>Center for Open Science</w:t>
      </w:r>
      <w:r w:rsidRPr="00816C6E">
        <w:rPr>
          <w:rFonts w:ascii="Times New Roman" w:hAnsi="Times New Roman" w:cs="Times New Roman"/>
          <w:sz w:val="26"/>
          <w:szCs w:val="26"/>
        </w:rPr>
        <w:t>.</w:t>
      </w:r>
      <w:r w:rsidRPr="00816C6E">
        <w:rPr>
          <w:rFonts w:ascii="Times New Roman" w:hAnsi="Times New Roman" w:cs="Times New Roman"/>
          <w:sz w:val="26"/>
          <w:szCs w:val="26"/>
          <w:lang w:eastAsia="zh-TW"/>
        </w:rPr>
        <w:t xml:space="preserve"> </w:t>
      </w:r>
      <w:r w:rsidRPr="00816C6E">
        <w:rPr>
          <w:rFonts w:ascii="Times New Roman" w:hAnsi="Times New Roman" w:cs="Times New Roman"/>
          <w:sz w:val="26"/>
          <w:szCs w:val="26"/>
        </w:rPr>
        <w:t>https://doi.org/10.31234/osf.io/nu4yz</w:t>
      </w:r>
    </w:p>
    <w:p w14:paraId="56BB4F1A"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Tafesse, W. (2016). An experiential model of consumer engagement in social media. </w:t>
      </w:r>
      <w:r w:rsidRPr="00816C6E">
        <w:rPr>
          <w:rFonts w:ascii="Times New Roman" w:hAnsi="Times New Roman" w:cs="Times New Roman"/>
          <w:i/>
          <w:iCs/>
          <w:sz w:val="26"/>
          <w:szCs w:val="26"/>
        </w:rPr>
        <w:t>Journal of Product &amp; Brand Management, 25</w:t>
      </w:r>
      <w:r w:rsidRPr="00816C6E">
        <w:rPr>
          <w:rFonts w:ascii="Times New Roman" w:hAnsi="Times New Roman" w:cs="Times New Roman"/>
          <w:sz w:val="26"/>
          <w:szCs w:val="26"/>
        </w:rPr>
        <w:t>(5), 424–434. https://doi.org/10.1108/JPBM-05-2015-0879</w:t>
      </w:r>
    </w:p>
    <w:p w14:paraId="6AD67654" w14:textId="0D4C014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Troiville, J., Hair, J. F., &amp; Cliquet, G. (2019). Definition, conceptualization and measurement of consumer-based retailer brand equity. </w:t>
      </w:r>
      <w:r w:rsidRPr="00816C6E">
        <w:rPr>
          <w:rFonts w:ascii="Times New Roman" w:hAnsi="Times New Roman" w:cs="Times New Roman"/>
          <w:i/>
          <w:iCs/>
          <w:sz w:val="26"/>
          <w:szCs w:val="26"/>
        </w:rPr>
        <w:t>Journal of Retailing and Consumer Services, 50</w:t>
      </w:r>
      <w:r w:rsidRPr="00816C6E">
        <w:rPr>
          <w:rFonts w:ascii="Times New Roman" w:hAnsi="Times New Roman" w:cs="Times New Roman"/>
          <w:sz w:val="26"/>
          <w:szCs w:val="26"/>
        </w:rPr>
        <w:t>, 73–84. https://doi.org/10.1016/j.jretconser.2019.04.022</w:t>
      </w:r>
    </w:p>
    <w:p w14:paraId="40866535"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Verma, P. (2021). The effect of brand engagement and brand love upon overall brand equity and purchase intention: A moderated –mediated model. </w:t>
      </w:r>
      <w:r w:rsidRPr="00816C6E">
        <w:rPr>
          <w:rFonts w:ascii="Times New Roman" w:hAnsi="Times New Roman" w:cs="Times New Roman"/>
          <w:i/>
          <w:iCs/>
          <w:sz w:val="26"/>
          <w:szCs w:val="26"/>
        </w:rPr>
        <w:t>Journal of Promotion Management,</w:t>
      </w:r>
      <w:r w:rsidRPr="001F7877">
        <w:rPr>
          <w:rFonts w:ascii="Times New Roman" w:hAnsi="Times New Roman" w:cs="Times New Roman"/>
          <w:i/>
          <w:iCs/>
          <w:sz w:val="26"/>
          <w:szCs w:val="26"/>
        </w:rPr>
        <w:t xml:space="preserve"> 27</w:t>
      </w:r>
      <w:r w:rsidRPr="005B2097">
        <w:rPr>
          <w:rFonts w:ascii="Times New Roman" w:hAnsi="Times New Roman" w:cs="Times New Roman"/>
          <w:sz w:val="26"/>
          <w:szCs w:val="26"/>
        </w:rPr>
        <w:t>(1)</w:t>
      </w:r>
      <w:r w:rsidRPr="008D042F">
        <w:rPr>
          <w:rFonts w:ascii="Times New Roman" w:hAnsi="Times New Roman" w:cs="Times New Roman"/>
          <w:sz w:val="26"/>
          <w:szCs w:val="26"/>
        </w:rPr>
        <w:t>,</w:t>
      </w:r>
      <w:r w:rsidRPr="00816C6E">
        <w:rPr>
          <w:rFonts w:ascii="Times New Roman" w:hAnsi="Times New Roman" w:cs="Times New Roman"/>
          <w:sz w:val="26"/>
          <w:szCs w:val="26"/>
        </w:rPr>
        <w:t xml:space="preserve"> 103–132. https://doi.org/10.1080/10496491.2020.1809591</w:t>
      </w:r>
    </w:p>
    <w:p w14:paraId="7EE58348"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Vlachos, L., Bendahan, M., &amp; Rosenblatt, M. (2020). Measuring brand equity in the digital environment. In </w:t>
      </w:r>
      <w:r w:rsidRPr="00816C6E">
        <w:rPr>
          <w:rFonts w:ascii="Times New Roman" w:hAnsi="Times New Roman" w:cs="Times New Roman"/>
          <w:i/>
          <w:iCs/>
          <w:sz w:val="26"/>
          <w:szCs w:val="26"/>
        </w:rPr>
        <w:t>Northeast Business and Economics Association (NBEA) 2019 proceedings</w:t>
      </w:r>
      <w:r w:rsidRPr="00816C6E">
        <w:rPr>
          <w:rFonts w:ascii="Times New Roman" w:hAnsi="Times New Roman" w:cs="Times New Roman"/>
          <w:sz w:val="26"/>
          <w:szCs w:val="26"/>
        </w:rPr>
        <w:t>. https://digitalcommons.molloy.edu/bus_fac/88</w:t>
      </w:r>
    </w:p>
    <w:p w14:paraId="45EA69FA" w14:textId="4733B0CA"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DC2A44">
        <w:rPr>
          <w:rFonts w:ascii="Times New Roman" w:hAnsi="Times New Roman" w:cs="Times New Roman"/>
          <w:sz w:val="26"/>
          <w:szCs w:val="26"/>
        </w:rPr>
        <w:t>Vo Minh, S., Nguyen Huong, G., &amp; Dang Nguyen Ha, G.</w:t>
      </w:r>
      <w:r w:rsidRPr="00816C6E">
        <w:rPr>
          <w:rFonts w:ascii="Times New Roman" w:hAnsi="Times New Roman" w:cs="Times New Roman"/>
          <w:sz w:val="26"/>
          <w:szCs w:val="26"/>
        </w:rPr>
        <w:t xml:space="preserve"> (2022). The role of social brand engagement on brand equity and purchase intention for fashion brands. </w:t>
      </w:r>
      <w:r w:rsidRPr="00816C6E">
        <w:rPr>
          <w:rFonts w:ascii="Times New Roman" w:hAnsi="Times New Roman" w:cs="Times New Roman"/>
          <w:i/>
          <w:iCs/>
          <w:sz w:val="26"/>
          <w:szCs w:val="26"/>
        </w:rPr>
        <w:t>Cogent Business &amp; Management, 9</w:t>
      </w:r>
      <w:r w:rsidRPr="00816C6E">
        <w:rPr>
          <w:rFonts w:ascii="Times New Roman" w:hAnsi="Times New Roman" w:cs="Times New Roman"/>
          <w:sz w:val="26"/>
          <w:szCs w:val="26"/>
          <w:lang w:eastAsia="zh-TW"/>
        </w:rPr>
        <w:t xml:space="preserve">(1), </w:t>
      </w:r>
      <w:r w:rsidRPr="00816C6E">
        <w:rPr>
          <w:rFonts w:ascii="Times New Roman" w:hAnsi="Times New Roman" w:cs="Times New Roman"/>
          <w:sz w:val="26"/>
          <w:szCs w:val="26"/>
        </w:rPr>
        <w:t>2143308. https://doi.org/10.1080/23311975.2022.2143308</w:t>
      </w:r>
    </w:p>
    <w:p w14:paraId="4CF0695F"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Vohra, A., &amp; Bhardwaj, N. (2019). Customer engagement in an e-commerce brand community</w:t>
      </w:r>
      <w:r w:rsidRPr="008D042F">
        <w:rPr>
          <w:rFonts w:ascii="Times New Roman" w:hAnsi="Times New Roman" w:cs="Times New Roman"/>
          <w:sz w:val="26"/>
          <w:szCs w:val="26"/>
        </w:rPr>
        <w:t>: An empirical comparison of alternate models</w:t>
      </w:r>
      <w:r w:rsidRPr="00816C6E">
        <w:rPr>
          <w:rFonts w:ascii="Times New Roman" w:hAnsi="Times New Roman" w:cs="Times New Roman"/>
          <w:sz w:val="26"/>
          <w:szCs w:val="26"/>
        </w:rPr>
        <w:t xml:space="preserve">. </w:t>
      </w:r>
      <w:r w:rsidRPr="00816C6E">
        <w:rPr>
          <w:rFonts w:ascii="Times New Roman" w:hAnsi="Times New Roman" w:cs="Times New Roman"/>
          <w:i/>
          <w:iCs/>
          <w:sz w:val="26"/>
          <w:szCs w:val="26"/>
        </w:rPr>
        <w:t>Journal of Research in Interactive Marketing, 13</w:t>
      </w:r>
      <w:r w:rsidRPr="00816C6E">
        <w:rPr>
          <w:rFonts w:ascii="Times New Roman" w:hAnsi="Times New Roman" w:cs="Times New Roman"/>
          <w:sz w:val="26"/>
          <w:szCs w:val="26"/>
        </w:rPr>
        <w:t>(1), 2–25. https://doi.org/10.1108/JRIM-01-2018-0003</w:t>
      </w:r>
    </w:p>
    <w:p w14:paraId="3E073B47"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Wang, H., &amp; Xie, J. (2020). A review of social commerce research. </w:t>
      </w:r>
      <w:r w:rsidRPr="00816C6E">
        <w:rPr>
          <w:rFonts w:ascii="Times New Roman" w:hAnsi="Times New Roman" w:cs="Times New Roman"/>
          <w:i/>
          <w:iCs/>
          <w:sz w:val="26"/>
          <w:szCs w:val="26"/>
        </w:rPr>
        <w:t>American Journal of Industrial and Business Management, 10</w:t>
      </w:r>
      <w:r w:rsidRPr="00816C6E">
        <w:rPr>
          <w:rFonts w:ascii="Times New Roman" w:hAnsi="Times New Roman" w:cs="Times New Roman"/>
          <w:sz w:val="26"/>
          <w:szCs w:val="26"/>
        </w:rPr>
        <w:t>(4), 793–803. https://doi.org/10.4236/ajibm.2020.104053</w:t>
      </w:r>
    </w:p>
    <w:p w14:paraId="3679DD7F" w14:textId="77777777" w:rsidR="001D563D" w:rsidRDefault="001D563D" w:rsidP="00EA33C0">
      <w:pPr>
        <w:pStyle w:val="EndNoteBibliography"/>
        <w:spacing w:after="0" w:line="360" w:lineRule="exact"/>
        <w:ind w:left="567" w:hanging="567"/>
        <w:jc w:val="left"/>
        <w:rPr>
          <w:rFonts w:ascii="Times New Roman" w:hAnsi="Times New Roman" w:cs="Times New Roman"/>
          <w:sz w:val="26"/>
          <w:szCs w:val="26"/>
        </w:rPr>
      </w:pPr>
      <w:r w:rsidRPr="00B22FF4">
        <w:rPr>
          <w:rFonts w:ascii="Times New Roman" w:hAnsi="Times New Roman" w:cs="Times New Roman"/>
          <w:sz w:val="26"/>
          <w:szCs w:val="26"/>
        </w:rPr>
        <w:t xml:space="preserve">Wang, X., Lin, X., &amp; Spencer, M. K. (2019). Exploring the effects of extrinsic motivation on consumer behaviors in social commerce: Revealing consumers’ perceptions of social commerce benefits. </w:t>
      </w:r>
      <w:r w:rsidRPr="00DB6ADD">
        <w:rPr>
          <w:rFonts w:ascii="Times New Roman" w:hAnsi="Times New Roman" w:cs="Times New Roman"/>
          <w:i/>
          <w:iCs/>
          <w:sz w:val="26"/>
          <w:szCs w:val="26"/>
        </w:rPr>
        <w:t>International Journal of Information Management</w:t>
      </w:r>
      <w:r>
        <w:rPr>
          <w:rFonts w:ascii="Times New Roman" w:hAnsi="Times New Roman" w:cs="Times New Roman"/>
          <w:i/>
          <w:iCs/>
          <w:sz w:val="26"/>
          <w:szCs w:val="26"/>
        </w:rPr>
        <w:t>,</w:t>
      </w:r>
      <w:r w:rsidRPr="00DB6ADD">
        <w:rPr>
          <w:rFonts w:ascii="Times New Roman" w:hAnsi="Times New Roman" w:cs="Times New Roman"/>
          <w:i/>
          <w:iCs/>
          <w:sz w:val="26"/>
          <w:szCs w:val="26"/>
        </w:rPr>
        <w:t xml:space="preserve"> 45</w:t>
      </w:r>
      <w:r w:rsidRPr="00B22FF4">
        <w:rPr>
          <w:rFonts w:ascii="Times New Roman" w:hAnsi="Times New Roman" w:cs="Times New Roman"/>
          <w:sz w:val="26"/>
          <w:szCs w:val="26"/>
        </w:rPr>
        <w:t>, 163–175.</w:t>
      </w:r>
      <w:r w:rsidRPr="001F7877">
        <w:rPr>
          <w:rFonts w:ascii="Times New Roman" w:hAnsi="Times New Roman" w:cs="Times New Roman"/>
          <w:color w:val="000000" w:themeColor="text1"/>
          <w:sz w:val="26"/>
          <w:szCs w:val="26"/>
        </w:rPr>
        <w:t xml:space="preserve"> </w:t>
      </w:r>
      <w:hyperlink r:id="rId11" w:history="1">
        <w:r w:rsidRPr="001F7877">
          <w:rPr>
            <w:rStyle w:val="af0"/>
            <w:rFonts w:ascii="Times New Roman" w:hAnsi="Times New Roman" w:cs="Times New Roman"/>
            <w:color w:val="000000" w:themeColor="text1"/>
            <w:sz w:val="26"/>
            <w:szCs w:val="26"/>
            <w:u w:val="none"/>
          </w:rPr>
          <w:t>https://doi.org/10.1016/j.ijinfomgt.2018.11.010</w:t>
        </w:r>
      </w:hyperlink>
    </w:p>
    <w:p w14:paraId="7C332EA5"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Waqas, M. (2022). The role of brand experience and student engagement in the creation of brand equity in a higher education context. </w:t>
      </w:r>
      <w:r w:rsidRPr="00DB6ADD">
        <w:rPr>
          <w:rFonts w:ascii="Times New Roman" w:hAnsi="Times New Roman" w:cs="Times New Roman"/>
          <w:i/>
          <w:iCs/>
          <w:sz w:val="26"/>
          <w:szCs w:val="26"/>
        </w:rPr>
        <w:t>Journal of Nonprofit &amp; Public Sector Marketing</w:t>
      </w:r>
      <w:r>
        <w:rPr>
          <w:rFonts w:ascii="Times New Roman" w:hAnsi="Times New Roman" w:cs="Times New Roman"/>
          <w:i/>
          <w:iCs/>
          <w:sz w:val="26"/>
          <w:szCs w:val="26"/>
        </w:rPr>
        <w:t>,</w:t>
      </w:r>
      <w:r w:rsidRPr="00DB6ADD">
        <w:rPr>
          <w:rFonts w:ascii="Times New Roman" w:hAnsi="Times New Roman" w:cs="Times New Roman"/>
          <w:i/>
          <w:iCs/>
          <w:sz w:val="26"/>
          <w:szCs w:val="26"/>
        </w:rPr>
        <w:t xml:space="preserve"> 34</w:t>
      </w:r>
      <w:r w:rsidRPr="00816C6E">
        <w:rPr>
          <w:rFonts w:ascii="Times New Roman" w:hAnsi="Times New Roman" w:cs="Times New Roman"/>
          <w:sz w:val="26"/>
          <w:szCs w:val="26"/>
        </w:rPr>
        <w:t>(4), 451–474. https://doi.org/10.1080/10495142.2021.1902905</w:t>
      </w:r>
    </w:p>
    <w:p w14:paraId="52916428" w14:textId="51A1B16C"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Waqas, M., Wajid, N., Khan, M.</w:t>
      </w:r>
      <w:r>
        <w:rPr>
          <w:rFonts w:ascii="Times New Roman" w:hAnsi="Times New Roman" w:cs="Times New Roman"/>
          <w:sz w:val="26"/>
          <w:szCs w:val="26"/>
        </w:rPr>
        <w:t xml:space="preserve"> A.</w:t>
      </w:r>
      <w:r w:rsidRPr="00816C6E">
        <w:rPr>
          <w:rFonts w:ascii="Times New Roman" w:hAnsi="Times New Roman" w:cs="Times New Roman"/>
          <w:sz w:val="26"/>
          <w:szCs w:val="26"/>
        </w:rPr>
        <w:t>, Hollebeek, L.</w:t>
      </w:r>
      <w:r w:rsidR="0069462D">
        <w:rPr>
          <w:rFonts w:ascii="Times New Roman" w:hAnsi="Times New Roman" w:cs="Times New Roman"/>
          <w:sz w:val="26"/>
          <w:szCs w:val="26"/>
        </w:rPr>
        <w:t xml:space="preserve"> D.</w:t>
      </w:r>
      <w:r w:rsidRPr="00816C6E">
        <w:rPr>
          <w:rFonts w:ascii="Times New Roman" w:hAnsi="Times New Roman" w:cs="Times New Roman"/>
          <w:sz w:val="26"/>
          <w:szCs w:val="26"/>
        </w:rPr>
        <w:t xml:space="preserve">, &amp; Urbonavičius, S. (2025). Enhancing brand equity through sublime experience: The mediating role of consumers' branded content engagement. </w:t>
      </w:r>
      <w:r w:rsidRPr="00816C6E">
        <w:rPr>
          <w:rFonts w:ascii="Times New Roman" w:hAnsi="Times New Roman" w:cs="Times New Roman"/>
          <w:i/>
          <w:iCs/>
          <w:sz w:val="26"/>
          <w:szCs w:val="26"/>
        </w:rPr>
        <w:t>Journal of Consumer Behavior, 24(5), 2276–2292</w:t>
      </w:r>
      <w:r w:rsidRPr="00816C6E">
        <w:rPr>
          <w:rFonts w:ascii="Times New Roman" w:hAnsi="Times New Roman" w:cs="Times New Roman"/>
          <w:sz w:val="26"/>
          <w:szCs w:val="26"/>
        </w:rPr>
        <w:t>. https://doi.org/10.1002/cb.70002</w:t>
      </w:r>
    </w:p>
    <w:p w14:paraId="2EBC21E2" w14:textId="25D46E08"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Xi, N., &amp; Hamari, J. (2020). Does gamification affect brand engagement and equity? A study in online brand communities. </w:t>
      </w:r>
      <w:r w:rsidRPr="00816C6E">
        <w:rPr>
          <w:rFonts w:ascii="Times New Roman" w:hAnsi="Times New Roman" w:cs="Times New Roman"/>
          <w:i/>
          <w:iCs/>
          <w:sz w:val="26"/>
          <w:szCs w:val="26"/>
        </w:rPr>
        <w:t>Journal of Business Research, 109</w:t>
      </w:r>
      <w:r w:rsidRPr="0069462D">
        <w:rPr>
          <w:rFonts w:ascii="Times New Roman" w:hAnsi="Times New Roman" w:cs="Times New Roman"/>
          <w:sz w:val="26"/>
          <w:szCs w:val="26"/>
        </w:rPr>
        <w:t>,</w:t>
      </w:r>
      <w:r>
        <w:rPr>
          <w:rFonts w:ascii="Times New Roman" w:hAnsi="Times New Roman" w:cs="Times New Roman"/>
          <w:sz w:val="26"/>
          <w:szCs w:val="26"/>
        </w:rPr>
        <w:t xml:space="preserve"> </w:t>
      </w:r>
      <w:r w:rsidRPr="00816C6E">
        <w:rPr>
          <w:rFonts w:ascii="Times New Roman" w:hAnsi="Times New Roman" w:cs="Times New Roman"/>
          <w:sz w:val="26"/>
          <w:szCs w:val="26"/>
        </w:rPr>
        <w:t>449-460. https://doi.org/10.1016/j.jbusres.2019.11.058</w:t>
      </w:r>
    </w:p>
    <w:p w14:paraId="026C9C4B" w14:textId="77777777"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Xue, J., Liang, X., Xie, T., &amp; Wang, H. (2020). See now, act now: How to interact with customers to enhance social commerce engagement? </w:t>
      </w:r>
      <w:r w:rsidRPr="00816C6E">
        <w:rPr>
          <w:rFonts w:ascii="Times New Roman" w:hAnsi="Times New Roman" w:cs="Times New Roman"/>
          <w:i/>
          <w:iCs/>
          <w:sz w:val="26"/>
          <w:szCs w:val="26"/>
        </w:rPr>
        <w:t>Information &amp; Management, 57</w:t>
      </w:r>
      <w:r w:rsidRPr="00816C6E">
        <w:rPr>
          <w:rFonts w:ascii="Times New Roman" w:hAnsi="Times New Roman" w:cs="Times New Roman"/>
          <w:sz w:val="26"/>
          <w:szCs w:val="26"/>
        </w:rPr>
        <w:t xml:space="preserve">(6), 103324. https://doi.org/10.1016/j.im.2020.103324 </w:t>
      </w:r>
    </w:p>
    <w:p w14:paraId="1BB49DC6" w14:textId="77777777" w:rsidR="001D563D" w:rsidRDefault="001D563D" w:rsidP="00EA33C0">
      <w:pPr>
        <w:pStyle w:val="EndNoteBibliography"/>
        <w:spacing w:after="0" w:line="360" w:lineRule="exact"/>
        <w:ind w:left="567" w:hanging="567"/>
        <w:jc w:val="left"/>
        <w:rPr>
          <w:rFonts w:ascii="Times New Roman" w:hAnsi="Times New Roman" w:cs="Times New Roman"/>
          <w:sz w:val="26"/>
          <w:szCs w:val="26"/>
        </w:rPr>
      </w:pPr>
      <w:r w:rsidRPr="00816C6E">
        <w:rPr>
          <w:rFonts w:ascii="Times New Roman" w:hAnsi="Times New Roman" w:cs="Times New Roman"/>
          <w:sz w:val="26"/>
          <w:szCs w:val="26"/>
        </w:rPr>
        <w:t xml:space="preserve">Yasin, M., Porcu, L., &amp; Liébana-Cabanillas, F. (2019). The effect of brand experience on customers’ engagement behavior within the context of online brand communities: The impact on intention to forward online company-generated content. </w:t>
      </w:r>
      <w:r w:rsidRPr="00816C6E">
        <w:rPr>
          <w:rFonts w:ascii="Times New Roman" w:hAnsi="Times New Roman" w:cs="Times New Roman"/>
          <w:i/>
          <w:iCs/>
          <w:sz w:val="26"/>
          <w:szCs w:val="26"/>
        </w:rPr>
        <w:t>Sustainability,</w:t>
      </w:r>
      <w:r w:rsidRPr="001F7877">
        <w:rPr>
          <w:rFonts w:ascii="Times New Roman" w:hAnsi="Times New Roman" w:cs="Times New Roman"/>
          <w:i/>
          <w:iCs/>
          <w:sz w:val="26"/>
          <w:szCs w:val="26"/>
        </w:rPr>
        <w:t xml:space="preserve"> 11</w:t>
      </w:r>
      <w:r w:rsidRPr="00816C6E">
        <w:rPr>
          <w:rFonts w:ascii="Times New Roman" w:hAnsi="Times New Roman" w:cs="Times New Roman"/>
          <w:sz w:val="26"/>
          <w:szCs w:val="26"/>
        </w:rPr>
        <w:t xml:space="preserve">(17), 4649. </w:t>
      </w:r>
      <w:hyperlink r:id="rId12" w:history="1">
        <w:r w:rsidRPr="001F7877">
          <w:rPr>
            <w:rStyle w:val="af0"/>
            <w:rFonts w:ascii="Times New Roman" w:hAnsi="Times New Roman" w:cs="Times New Roman"/>
            <w:color w:val="000000" w:themeColor="text1"/>
            <w:sz w:val="26"/>
            <w:szCs w:val="26"/>
            <w:u w:val="none"/>
          </w:rPr>
          <w:t>https://doi.org/10.3390/su11174649</w:t>
        </w:r>
      </w:hyperlink>
    </w:p>
    <w:p w14:paraId="7B157511" w14:textId="49FEC08D" w:rsidR="001D563D" w:rsidRPr="00816C6E" w:rsidRDefault="001D563D" w:rsidP="00EA33C0">
      <w:pPr>
        <w:pStyle w:val="EndNoteBibliography"/>
        <w:spacing w:after="0" w:line="360" w:lineRule="exact"/>
        <w:ind w:left="567" w:hanging="567"/>
        <w:jc w:val="left"/>
        <w:rPr>
          <w:rFonts w:ascii="Times New Roman" w:hAnsi="Times New Roman" w:cs="Times New Roman"/>
          <w:sz w:val="26"/>
          <w:szCs w:val="26"/>
        </w:rPr>
      </w:pPr>
      <w:r w:rsidRPr="008D042F">
        <w:rPr>
          <w:rFonts w:ascii="Times New Roman" w:hAnsi="Times New Roman" w:cs="Times New Roman"/>
          <w:sz w:val="26"/>
          <w:szCs w:val="26"/>
        </w:rPr>
        <w:t>Yunpeng, S</w:t>
      </w:r>
      <w:r w:rsidRPr="00816C6E">
        <w:rPr>
          <w:rFonts w:ascii="Times New Roman" w:hAnsi="Times New Roman" w:cs="Times New Roman"/>
          <w:sz w:val="26"/>
          <w:szCs w:val="26"/>
        </w:rPr>
        <w:t xml:space="preserve">., &amp; Khan, Y. </w:t>
      </w:r>
      <w:r w:rsidR="0069462D">
        <w:rPr>
          <w:rFonts w:ascii="Times New Roman" w:hAnsi="Times New Roman" w:cs="Times New Roman"/>
          <w:sz w:val="26"/>
          <w:szCs w:val="26"/>
        </w:rPr>
        <w:t xml:space="preserve">A. </w:t>
      </w:r>
      <w:r w:rsidRPr="00816C6E">
        <w:rPr>
          <w:rFonts w:ascii="Times New Roman" w:hAnsi="Times New Roman" w:cs="Times New Roman"/>
          <w:sz w:val="26"/>
          <w:szCs w:val="26"/>
        </w:rPr>
        <w:t xml:space="preserve">(2023). Understanding the effect of online brand experience on customer satisfaction in China: a mediating role of brand familiarity. </w:t>
      </w:r>
      <w:r w:rsidRPr="00816C6E">
        <w:rPr>
          <w:rFonts w:ascii="Times New Roman" w:hAnsi="Times New Roman" w:cs="Times New Roman"/>
          <w:i/>
          <w:iCs/>
          <w:sz w:val="26"/>
          <w:szCs w:val="26"/>
        </w:rPr>
        <w:t>Current Psychology, 42</w:t>
      </w:r>
      <w:r w:rsidRPr="00816C6E">
        <w:rPr>
          <w:rFonts w:ascii="Times New Roman" w:hAnsi="Times New Roman" w:cs="Times New Roman"/>
          <w:sz w:val="26"/>
          <w:szCs w:val="26"/>
        </w:rPr>
        <w:t>(5), 3888-3903. https://doi.org/10.1007/s12144-021-01706-7.</w:t>
      </w:r>
    </w:p>
    <w:p w14:paraId="0139109B" w14:textId="77777777" w:rsidR="00B22FF4" w:rsidRPr="00816C6E" w:rsidRDefault="00B22FF4" w:rsidP="00EA33C0">
      <w:pPr>
        <w:pStyle w:val="EndNoteBibliography"/>
        <w:spacing w:after="0" w:line="360" w:lineRule="exact"/>
        <w:ind w:left="567" w:hanging="567"/>
        <w:jc w:val="left"/>
        <w:rPr>
          <w:rFonts w:ascii="Times New Roman" w:hAnsi="Times New Roman" w:cs="Times New Roman"/>
          <w:sz w:val="26"/>
          <w:szCs w:val="26"/>
        </w:rPr>
      </w:pPr>
    </w:p>
    <w:p w14:paraId="053EAE81" w14:textId="77777777" w:rsidR="00E01171" w:rsidRPr="00816C6E" w:rsidRDefault="00E01171" w:rsidP="00E01171">
      <w:pPr>
        <w:spacing w:after="0" w:line="360" w:lineRule="exact"/>
        <w:jc w:val="both"/>
        <w:rPr>
          <w:rFonts w:ascii="Times New Roman" w:hAnsi="Times New Roman" w:cs="Times New Roman"/>
          <w:sz w:val="26"/>
          <w:szCs w:val="26"/>
        </w:rPr>
      </w:pPr>
    </w:p>
    <w:p w14:paraId="50B93413" w14:textId="7867DF18" w:rsidR="00E01171" w:rsidRPr="00816C6E" w:rsidRDefault="00D94758" w:rsidP="00E01171">
      <w:pPr>
        <w:spacing w:after="0" w:line="360" w:lineRule="exact"/>
        <w:jc w:val="both"/>
        <w:rPr>
          <w:rFonts w:ascii="Times New Roman" w:hAnsi="Times New Roman" w:cs="Times New Roman"/>
          <w:sz w:val="24"/>
          <w:szCs w:val="24"/>
        </w:rPr>
      </w:pPr>
      <w:r w:rsidRPr="00816C6E">
        <w:rPr>
          <w:rFonts w:ascii="Times New Roman" w:hAnsi="Times New Roman" w:cs="Times New Roman"/>
          <w:b/>
          <w:bCs/>
          <w:sz w:val="24"/>
          <w:szCs w:val="24"/>
        </w:rPr>
        <w:t xml:space="preserve">Dr. </w:t>
      </w:r>
      <w:proofErr w:type="spellStart"/>
      <w:r w:rsidRPr="00816C6E">
        <w:rPr>
          <w:rFonts w:ascii="Times New Roman" w:hAnsi="Times New Roman" w:cs="Times New Roman"/>
          <w:b/>
          <w:bCs/>
          <w:sz w:val="24"/>
          <w:szCs w:val="24"/>
        </w:rPr>
        <w:t>Erni</w:t>
      </w:r>
      <w:proofErr w:type="spellEnd"/>
      <w:r w:rsidRPr="00816C6E">
        <w:rPr>
          <w:rFonts w:ascii="Times New Roman" w:hAnsi="Times New Roman" w:cs="Times New Roman"/>
          <w:b/>
          <w:bCs/>
          <w:sz w:val="24"/>
          <w:szCs w:val="24"/>
        </w:rPr>
        <w:t xml:space="preserve"> Martini</w:t>
      </w:r>
      <w:r w:rsidR="001D563D">
        <w:rPr>
          <w:rFonts w:ascii="Times New Roman" w:hAnsi="Times New Roman" w:cs="Times New Roman"/>
          <w:b/>
          <w:bCs/>
          <w:sz w:val="24"/>
          <w:szCs w:val="24"/>
        </w:rPr>
        <w:t xml:space="preserve"> (Corresponding author)</w:t>
      </w:r>
      <w:r w:rsidRPr="00816C6E">
        <w:rPr>
          <w:rFonts w:ascii="Times New Roman" w:hAnsi="Times New Roman" w:cs="Times New Roman"/>
          <w:sz w:val="24"/>
          <w:szCs w:val="24"/>
        </w:rPr>
        <w:t xml:space="preserve"> holds a doctorate in Management. She is an assistant professor and researcher in the Department of Management at the Faculty of Economics and Business, Telkom University, Indonesia. Her scholarly work focuses on digital consumer behavior, social media marketing, and online brand engagement, with a particular interest in how digital platforms shape consumer decision-making and brand-related outcomes. She has authored and co-authored several publications in nationally and internationally indexed outlets, contributing to the growing body of knowledge on technology-driven consumer behavior in emerging markets. ORCID: 0000-0003-2782-4408.</w:t>
      </w:r>
    </w:p>
    <w:p w14:paraId="6C0F9E7D" w14:textId="77777777" w:rsidR="00E01171" w:rsidRPr="00816C6E" w:rsidRDefault="00E01171" w:rsidP="00E01171">
      <w:pPr>
        <w:spacing w:after="0" w:line="360" w:lineRule="exact"/>
        <w:jc w:val="both"/>
        <w:rPr>
          <w:rFonts w:ascii="Times New Roman" w:hAnsi="Times New Roman" w:cs="Times New Roman"/>
          <w:sz w:val="24"/>
          <w:szCs w:val="24"/>
        </w:rPr>
      </w:pPr>
    </w:p>
    <w:p w14:paraId="2E401D58" w14:textId="428AC839" w:rsidR="00EF3435" w:rsidRPr="00E01171" w:rsidRDefault="00D94758" w:rsidP="00C43F65">
      <w:pPr>
        <w:spacing w:after="0" w:line="360" w:lineRule="exact"/>
        <w:jc w:val="both"/>
        <w:rPr>
          <w:rFonts w:ascii="Times New Roman" w:hAnsi="Times New Roman" w:cs="Times New Roman"/>
          <w:sz w:val="24"/>
          <w:szCs w:val="24"/>
        </w:rPr>
      </w:pPr>
      <w:r w:rsidRPr="00816C6E">
        <w:rPr>
          <w:rFonts w:ascii="Times New Roman" w:hAnsi="Times New Roman" w:cs="Times New Roman"/>
          <w:b/>
          <w:bCs/>
          <w:sz w:val="24"/>
          <w:szCs w:val="24"/>
        </w:rPr>
        <w:t xml:space="preserve">Dr. Adhi </w:t>
      </w:r>
      <w:proofErr w:type="spellStart"/>
      <w:r w:rsidRPr="00816C6E">
        <w:rPr>
          <w:rFonts w:ascii="Times New Roman" w:hAnsi="Times New Roman" w:cs="Times New Roman"/>
          <w:b/>
          <w:bCs/>
          <w:sz w:val="24"/>
          <w:szCs w:val="24"/>
        </w:rPr>
        <w:t>Prasetyo</w:t>
      </w:r>
      <w:proofErr w:type="spellEnd"/>
      <w:r w:rsidRPr="00816C6E">
        <w:rPr>
          <w:rFonts w:ascii="Times New Roman" w:hAnsi="Times New Roman" w:cs="Times New Roman"/>
          <w:b/>
          <w:bCs/>
          <w:sz w:val="24"/>
          <w:szCs w:val="24"/>
        </w:rPr>
        <w:t xml:space="preserve"> </w:t>
      </w:r>
      <w:r w:rsidRPr="00816C6E">
        <w:rPr>
          <w:rFonts w:ascii="Times New Roman" w:hAnsi="Times New Roman" w:cs="Times New Roman"/>
          <w:sz w:val="24"/>
          <w:szCs w:val="24"/>
        </w:rPr>
        <w:t>is an Associate Professor in Marketing Management at the Faculty of Economics and Business, Telkom University. With a strong background in engineering and Management, he actively explores how digital technologies transform business dynamics in Indonesia. His research spans e-commerce, digital marketing, telecommunications innovation, and ICT-based Management, and his publications include several scientific papers, chapters, and books. His ongoing research projects concern social media marketing, e-commerce, social CRM, and digital marketing. ORCID: 0000-0002-4025-0237.</w:t>
      </w:r>
    </w:p>
    <w:sectPr w:rsidR="00EF3435" w:rsidRPr="00E01171" w:rsidSect="005D6E42">
      <w:headerReference w:type="even" r:id="rId13"/>
      <w:headerReference w:type="default" r:id="rId14"/>
      <w:headerReference w:type="first" r:id="rId15"/>
      <w:pgSz w:w="11909" w:h="16834" w:code="9"/>
      <w:pgMar w:top="1440" w:right="1440" w:bottom="1440" w:left="1440" w:header="720" w:footer="720" w:gutter="0"/>
      <w:lnNumType w:countBy="1" w:restart="continuous"/>
      <w:pgNumType w:start="3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B241" w14:textId="77777777" w:rsidR="002636E0" w:rsidRDefault="002636E0">
      <w:pPr>
        <w:spacing w:after="0" w:line="240" w:lineRule="auto"/>
      </w:pPr>
      <w:r>
        <w:separator/>
      </w:r>
    </w:p>
  </w:endnote>
  <w:endnote w:type="continuationSeparator" w:id="0">
    <w:p w14:paraId="443D7BCE" w14:textId="77777777" w:rsidR="002636E0" w:rsidRDefault="0026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B11A" w14:textId="77777777" w:rsidR="002636E0" w:rsidRDefault="002636E0">
      <w:pPr>
        <w:spacing w:after="0" w:line="240" w:lineRule="auto"/>
      </w:pPr>
      <w:r>
        <w:separator/>
      </w:r>
    </w:p>
  </w:footnote>
  <w:footnote w:type="continuationSeparator" w:id="0">
    <w:p w14:paraId="0CB4C52E" w14:textId="77777777" w:rsidR="002636E0" w:rsidRDefault="00263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1433" w14:textId="77777777" w:rsidR="0020093C" w:rsidRDefault="0020093C" w:rsidP="0020093C">
    <w:pPr>
      <w:pStyle w:val="ac"/>
      <w:rPr>
        <w:rFonts w:ascii="Times New Roman" w:hAnsi="Times New Roman"/>
      </w:rPr>
    </w:pPr>
  </w:p>
  <w:p w14:paraId="7685AB36" w14:textId="77777777" w:rsidR="00B464A1" w:rsidRPr="00B464A1" w:rsidRDefault="00D94758" w:rsidP="00B464A1">
    <w:pPr>
      <w:widowControl w:val="0"/>
      <w:tabs>
        <w:tab w:val="center" w:pos="4513"/>
        <w:tab w:val="right" w:pos="9026"/>
      </w:tabs>
      <w:snapToGrid w:val="0"/>
      <w:rPr>
        <w:rFonts w:ascii="Times New Roman" w:hAnsi="Times New Roman" w:cs="Times New Roman"/>
        <w:kern w:val="2"/>
        <w:lang w:eastAsia="en-GB"/>
      </w:rPr>
    </w:pPr>
    <w:r w:rsidRPr="00B464A1">
      <w:rPr>
        <w:rFonts w:ascii="Times New Roman" w:hAnsi="Times New Roman" w:cs="Times New Roman"/>
        <w:kern w:val="2"/>
        <w:lang w:eastAsia="en-GB"/>
      </w:rPr>
      <w:fldChar w:fldCharType="begin"/>
    </w:r>
    <w:r w:rsidRPr="00B464A1">
      <w:rPr>
        <w:rFonts w:ascii="Times New Roman" w:hAnsi="Times New Roman" w:cs="Times New Roman"/>
        <w:kern w:val="2"/>
        <w:lang w:eastAsia="en-GB"/>
      </w:rPr>
      <w:instrText>PAGE   \* MERGEFORMAT</w:instrText>
    </w:r>
    <w:r w:rsidRPr="00B464A1">
      <w:rPr>
        <w:rFonts w:ascii="Times New Roman" w:hAnsi="Times New Roman" w:cs="Times New Roman"/>
        <w:kern w:val="2"/>
        <w:lang w:eastAsia="en-GB"/>
      </w:rPr>
      <w:fldChar w:fldCharType="separate"/>
    </w:r>
    <w:r w:rsidRPr="00B464A1">
      <w:rPr>
        <w:rFonts w:ascii="Times New Roman" w:hAnsi="Times New Roman" w:cs="Times New Roman"/>
        <w:kern w:val="2"/>
        <w:lang w:eastAsia="en-GB"/>
      </w:rPr>
      <w:t>208</w:t>
    </w:r>
    <w:r w:rsidRPr="00B464A1">
      <w:rPr>
        <w:rFonts w:ascii="Times New Roman" w:hAnsi="Times New Roman" w:cs="Times New Roman"/>
        <w:kern w:val="2"/>
        <w:lang w:eastAsia="en-GB"/>
      </w:rPr>
      <w:fldChar w:fldCharType="end"/>
    </w:r>
    <w:r w:rsidRPr="00B464A1">
      <w:rPr>
        <w:rFonts w:ascii="Times New Roman" w:hAnsi="Times New Roman" w:cs="Times New Roman"/>
        <w:noProof/>
        <w:kern w:val="2"/>
        <w:lang w:eastAsia="en-GB"/>
      </w:rPr>
      <mc:AlternateContent>
        <mc:Choice Requires="wps">
          <w:drawing>
            <wp:anchor distT="0" distB="0" distL="114300" distR="114300" simplePos="0" relativeHeight="251660288" behindDoc="0" locked="0" layoutInCell="1" allowOverlap="1" wp14:anchorId="5DA423B5" wp14:editId="7CFAB337">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直線接點 4" o:spid="_x0000_s2049"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sidRPr="00B464A1">
      <w:rPr>
        <w:rFonts w:ascii="Times New Roman" w:hAnsi="Times New Roman" w:cs="Times New Roman"/>
        <w:kern w:val="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BE89" w14:textId="77777777" w:rsidR="0020093C" w:rsidRDefault="0020093C" w:rsidP="0020093C">
    <w:pPr>
      <w:pStyle w:val="ac"/>
      <w:overflowPunct w:val="0"/>
      <w:autoSpaceDE w:val="0"/>
      <w:autoSpaceDN w:val="0"/>
      <w:adjustRightInd w:val="0"/>
      <w:textAlignment w:val="baseline"/>
      <w:rPr>
        <w:rFonts w:ascii="Times New Roman" w:hAnsi="Times New Roman"/>
        <w:lang w:val="en-AU"/>
      </w:rPr>
    </w:pPr>
  </w:p>
  <w:p w14:paraId="470388A7" w14:textId="77777777" w:rsidR="0020093C" w:rsidRDefault="00D94758" w:rsidP="0020093C">
    <w:pPr>
      <w:pStyle w:val="ac"/>
      <w:overflowPunct w:val="0"/>
      <w:autoSpaceDE w:val="0"/>
      <w:autoSpaceDN w:val="0"/>
      <w:adjustRightInd w:val="0"/>
      <w:ind w:right="100"/>
      <w:jc w:val="right"/>
      <w:textAlignment w:val="baseline"/>
      <w:rPr>
        <w:rFonts w:ascii="Times New Roman" w:hAnsi="Times New Roman"/>
        <w:lang w:val="en-AU"/>
      </w:rPr>
    </w:pPr>
    <w:r>
      <w:rPr>
        <w:noProof/>
        <w:lang w:bidi="fa-IR"/>
      </w:rPr>
      <mc:AlternateContent>
        <mc:Choice Requires="wps">
          <w:drawing>
            <wp:anchor distT="0" distB="0" distL="114300" distR="114300" simplePos="0" relativeHeight="251658240" behindDoc="0" locked="0" layoutInCell="1" allowOverlap="1" wp14:anchorId="38BA3B5E" wp14:editId="5B845EB0">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直線接點 2" o:spid="_x0000_s2050" style="mso-height-percent:0;mso-height-relative:page;mso-width-percent:0;mso-width-relative:page;mso-wrap-distance-bottom:0;mso-wrap-distance-left:9pt;mso-wrap-distance-right:9pt;mso-wrap-distance-top:0;mso-wrap-style:square;position:absolute;visibility:visible;z-index:251659264" from="0,11.5pt" to="468pt,11.5pt"/>
          </w:pict>
        </mc:Fallback>
      </mc:AlternateContent>
    </w:r>
    <w:r>
      <w:rPr>
        <w:rFonts w:ascii="Times New Roman" w:hAnsi="Times New Roman"/>
        <w:noProof/>
      </w:rPr>
      <w:t xml:space="preserve">Contemporary Management Research   </w:t>
    </w:r>
    <w:r>
      <w:rPr>
        <w:rFonts w:ascii="Times New Roman" w:hAnsi="Times New Roman"/>
        <w:lang w:val="en-AU"/>
      </w:rPr>
      <w:fldChar w:fldCharType="begin"/>
    </w:r>
    <w:r>
      <w:rPr>
        <w:rFonts w:ascii="Times New Roman" w:hAnsi="Times New Roman"/>
        <w:lang w:val="en-AU"/>
      </w:rPr>
      <w:instrText xml:space="preserve"> PAGE </w:instrText>
    </w:r>
    <w:r>
      <w:rPr>
        <w:rFonts w:ascii="Times New Roman" w:hAnsi="Times New Roman"/>
        <w:lang w:val="en-AU"/>
      </w:rPr>
      <w:fldChar w:fldCharType="separate"/>
    </w:r>
    <w:r w:rsidR="003B591F">
      <w:rPr>
        <w:rFonts w:ascii="Times New Roman" w:hAnsi="Times New Roman"/>
        <w:noProof/>
        <w:lang w:val="en-AU"/>
      </w:rPr>
      <w:t>151</w:t>
    </w:r>
    <w:r>
      <w:rPr>
        <w:rFonts w:ascii="Times New Roman" w:hAnsi="Times New Roman"/>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1"/>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931359" w14:paraId="4034B363" w14:textId="77777777" w:rsidTr="007E442A">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6D67485A" w14:textId="77777777" w:rsidR="00EF3435" w:rsidRPr="00816C6E" w:rsidRDefault="00D94758" w:rsidP="0020093C">
          <w:pPr>
            <w:pStyle w:val="a8"/>
            <w:rPr>
              <w:rFonts w:ascii="Times New Roman" w:hAnsi="Times New Roman" w:cs="Times New Roman"/>
              <w:sz w:val="24"/>
              <w:szCs w:val="24"/>
            </w:rPr>
          </w:pPr>
          <w:r w:rsidRPr="00816C6E">
            <w:rPr>
              <w:rFonts w:ascii="Times New Roman" w:hAnsi="Times New Roman" w:cs="Times New Roman"/>
              <w:sz w:val="24"/>
              <w:szCs w:val="24"/>
            </w:rPr>
            <w:t>Contemporary Management Research</w:t>
          </w:r>
        </w:p>
        <w:p w14:paraId="2E4F946A" w14:textId="77777777" w:rsidR="00EF3435" w:rsidRPr="00816C6E" w:rsidRDefault="00D94758" w:rsidP="0020093C">
          <w:pPr>
            <w:pStyle w:val="a8"/>
            <w:rPr>
              <w:rFonts w:ascii="Times New Roman" w:hAnsi="Times New Roman" w:cs="Times New Roman"/>
              <w:color w:val="0D0D0D"/>
              <w:sz w:val="24"/>
              <w:szCs w:val="24"/>
            </w:rPr>
          </w:pPr>
          <w:r w:rsidRPr="00816C6E">
            <w:rPr>
              <w:rFonts w:ascii="Times New Roman" w:hAnsi="Times New Roman" w:cs="Times New Roman"/>
              <w:color w:val="0D0D0D"/>
              <w:sz w:val="24"/>
              <w:szCs w:val="24"/>
            </w:rPr>
            <w:t xml:space="preserve">Pages </w:t>
          </w:r>
          <w:r w:rsidR="005D6E42">
            <w:rPr>
              <w:rFonts w:ascii="Times New Roman" w:hAnsi="Times New Roman" w:cs="Times New Roman"/>
              <w:color w:val="0D0D0D"/>
              <w:sz w:val="24"/>
              <w:szCs w:val="24"/>
            </w:rPr>
            <w:t>351</w:t>
          </w:r>
          <w:r w:rsidR="002554D1" w:rsidRPr="00816C6E">
            <w:rPr>
              <w:rFonts w:ascii="Times New Roman" w:hAnsi="Times New Roman" w:cs="Times New Roman"/>
              <w:color w:val="0D0D0D"/>
              <w:sz w:val="24"/>
              <w:szCs w:val="24"/>
              <w:lang w:eastAsia="zh-TW"/>
            </w:rPr>
            <w:t>-</w:t>
          </w:r>
          <w:r w:rsidR="005D6E42">
            <w:rPr>
              <w:rFonts w:ascii="Times New Roman" w:hAnsi="Times New Roman" w:cs="Times New Roman"/>
              <w:color w:val="0D0D0D"/>
              <w:sz w:val="24"/>
              <w:szCs w:val="24"/>
              <w:lang w:eastAsia="zh-TW"/>
            </w:rPr>
            <w:t>37</w:t>
          </w:r>
          <w:r w:rsidR="001D563D">
            <w:rPr>
              <w:rFonts w:ascii="Times New Roman" w:hAnsi="Times New Roman" w:cs="Times New Roman" w:hint="eastAsia"/>
              <w:color w:val="0D0D0D"/>
              <w:sz w:val="24"/>
              <w:szCs w:val="24"/>
              <w:lang w:eastAsia="zh-TW"/>
            </w:rPr>
            <w:t>6</w:t>
          </w:r>
          <w:r w:rsidR="003C568D" w:rsidRPr="00816C6E">
            <w:rPr>
              <w:rFonts w:ascii="Times New Roman" w:hAnsi="Times New Roman" w:cs="Times New Roman"/>
              <w:color w:val="0D0D0D"/>
              <w:sz w:val="24"/>
              <w:szCs w:val="24"/>
            </w:rPr>
            <w:t>,</w:t>
          </w:r>
          <w:r w:rsidR="003C568D" w:rsidRPr="00816C6E">
            <w:rPr>
              <w:rFonts w:ascii="Times New Roman" w:hAnsi="Times New Roman" w:cs="Times New Roman"/>
              <w:color w:val="0D0D0D"/>
              <w:sz w:val="24"/>
              <w:szCs w:val="24"/>
              <w:lang w:eastAsia="zh-TW"/>
            </w:rPr>
            <w:t xml:space="preserve"> </w:t>
          </w:r>
          <w:r w:rsidR="003C568D" w:rsidRPr="00816C6E">
            <w:rPr>
              <w:rFonts w:ascii="Times New Roman" w:hAnsi="Times New Roman" w:cs="Times New Roman"/>
              <w:color w:val="0D0D0D"/>
              <w:sz w:val="24"/>
              <w:szCs w:val="24"/>
            </w:rPr>
            <w:t>N</w:t>
          </w:r>
          <w:r w:rsidRPr="00816C6E">
            <w:rPr>
              <w:rFonts w:ascii="Times New Roman" w:hAnsi="Times New Roman" w:cs="Times New Roman"/>
              <w:color w:val="0D0D0D"/>
              <w:sz w:val="24"/>
              <w:szCs w:val="24"/>
            </w:rPr>
            <w:t xml:space="preserve">o. </w:t>
          </w:r>
          <w:r w:rsidR="00816C6E" w:rsidRPr="00816C6E">
            <w:rPr>
              <w:rFonts w:ascii="Times New Roman" w:hAnsi="Times New Roman" w:cs="Times New Roman"/>
              <w:color w:val="0D0D0D"/>
              <w:sz w:val="24"/>
              <w:szCs w:val="24"/>
            </w:rPr>
            <w:t>22</w:t>
          </w:r>
          <w:r w:rsidRPr="00816C6E">
            <w:rPr>
              <w:rFonts w:ascii="Times New Roman" w:hAnsi="Times New Roman" w:cs="Times New Roman"/>
              <w:color w:val="0D0D0D"/>
              <w:sz w:val="24"/>
              <w:szCs w:val="24"/>
            </w:rPr>
            <w:t xml:space="preserve">, No. </w:t>
          </w:r>
          <w:r w:rsidR="00816C6E" w:rsidRPr="00816C6E">
            <w:rPr>
              <w:rFonts w:ascii="Times New Roman" w:hAnsi="Times New Roman" w:cs="Times New Roman"/>
              <w:color w:val="0D0D0D"/>
              <w:sz w:val="24"/>
              <w:szCs w:val="24"/>
            </w:rPr>
            <w:t>4</w:t>
          </w:r>
          <w:r w:rsidRPr="00816C6E">
            <w:rPr>
              <w:rFonts w:ascii="Times New Roman" w:hAnsi="Times New Roman" w:cs="Times New Roman"/>
              <w:color w:val="0D0D0D"/>
              <w:sz w:val="24"/>
              <w:szCs w:val="24"/>
            </w:rPr>
            <w:t>,</w:t>
          </w:r>
          <w:r w:rsidRPr="00816C6E">
            <w:rPr>
              <w:rFonts w:ascii="Times New Roman" w:eastAsia="Microsoft JhengHei UI" w:hAnsi="Times New Roman" w:cs="Times New Roman"/>
              <w:color w:val="0D0D0D"/>
              <w:sz w:val="24"/>
              <w:szCs w:val="24"/>
            </w:rPr>
            <w:t xml:space="preserve"> 202</w:t>
          </w:r>
          <w:r w:rsidR="00B07CAB" w:rsidRPr="00816C6E">
            <w:rPr>
              <w:rFonts w:ascii="Times New Roman" w:eastAsia="Microsoft JhengHei UI" w:hAnsi="Times New Roman" w:cs="Times New Roman"/>
              <w:color w:val="0D0D0D"/>
              <w:sz w:val="24"/>
              <w:szCs w:val="24"/>
              <w:lang w:eastAsia="zh-TW"/>
            </w:rPr>
            <w:t>6</w:t>
          </w:r>
        </w:p>
        <w:p w14:paraId="3DFD79C1" w14:textId="77777777" w:rsidR="0020093C" w:rsidRPr="00DA293E" w:rsidRDefault="00D94758" w:rsidP="0020093C">
          <w:pPr>
            <w:spacing w:after="0" w:line="240" w:lineRule="auto"/>
            <w:rPr>
              <w:lang w:val="pt-BR"/>
            </w:rPr>
          </w:pPr>
          <w:r w:rsidRPr="00816C6E">
            <w:rPr>
              <w:rFonts w:ascii="Times New Roman" w:hAnsi="Times New Roman" w:cs="Times New Roman"/>
              <w:sz w:val="24"/>
              <w:szCs w:val="24"/>
              <w:lang w:val="pt-BR"/>
            </w:rPr>
            <w:t>doi: 10.7903/cmr.2</w:t>
          </w:r>
          <w:r w:rsidR="00B07CAB" w:rsidRPr="00816C6E">
            <w:rPr>
              <w:rFonts w:ascii="Times New Roman" w:hAnsi="Times New Roman" w:cs="Times New Roman"/>
              <w:sz w:val="24"/>
              <w:szCs w:val="24"/>
              <w:lang w:val="pt-BR" w:eastAsia="zh-TW"/>
            </w:rPr>
            <w:t>4314</w:t>
          </w:r>
        </w:p>
      </w:tc>
    </w:tr>
  </w:tbl>
  <w:p w14:paraId="40D2A160" w14:textId="77777777" w:rsidR="00EF3435" w:rsidRDefault="00EF343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11E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920DD6"/>
    <w:multiLevelType w:val="hybridMultilevel"/>
    <w:tmpl w:val="1DEA1A16"/>
    <w:lvl w:ilvl="0" w:tplc="FB78C344">
      <w:start w:val="1"/>
      <w:numFmt w:val="bullet"/>
      <w:lvlText w:val=""/>
      <w:lvlJc w:val="left"/>
      <w:pPr>
        <w:ind w:left="480" w:hanging="480"/>
      </w:pPr>
      <w:rPr>
        <w:rFonts w:ascii="Wingdings" w:hAnsi="Wingdings" w:hint="default"/>
      </w:rPr>
    </w:lvl>
    <w:lvl w:ilvl="1" w:tplc="8B081770" w:tentative="1">
      <w:start w:val="1"/>
      <w:numFmt w:val="bullet"/>
      <w:lvlText w:val=""/>
      <w:lvlJc w:val="left"/>
      <w:pPr>
        <w:ind w:left="960" w:hanging="480"/>
      </w:pPr>
      <w:rPr>
        <w:rFonts w:ascii="Wingdings" w:hAnsi="Wingdings" w:hint="default"/>
      </w:rPr>
    </w:lvl>
    <w:lvl w:ilvl="2" w:tplc="867256C6" w:tentative="1">
      <w:start w:val="1"/>
      <w:numFmt w:val="bullet"/>
      <w:lvlText w:val=""/>
      <w:lvlJc w:val="left"/>
      <w:pPr>
        <w:ind w:left="1440" w:hanging="480"/>
      </w:pPr>
      <w:rPr>
        <w:rFonts w:ascii="Wingdings" w:hAnsi="Wingdings" w:hint="default"/>
      </w:rPr>
    </w:lvl>
    <w:lvl w:ilvl="3" w:tplc="6AE2C412" w:tentative="1">
      <w:start w:val="1"/>
      <w:numFmt w:val="bullet"/>
      <w:lvlText w:val=""/>
      <w:lvlJc w:val="left"/>
      <w:pPr>
        <w:ind w:left="1920" w:hanging="480"/>
      </w:pPr>
      <w:rPr>
        <w:rFonts w:ascii="Wingdings" w:hAnsi="Wingdings" w:hint="default"/>
      </w:rPr>
    </w:lvl>
    <w:lvl w:ilvl="4" w:tplc="5B8A19EE" w:tentative="1">
      <w:start w:val="1"/>
      <w:numFmt w:val="bullet"/>
      <w:lvlText w:val=""/>
      <w:lvlJc w:val="left"/>
      <w:pPr>
        <w:ind w:left="2400" w:hanging="480"/>
      </w:pPr>
      <w:rPr>
        <w:rFonts w:ascii="Wingdings" w:hAnsi="Wingdings" w:hint="default"/>
      </w:rPr>
    </w:lvl>
    <w:lvl w:ilvl="5" w:tplc="1C3C7414" w:tentative="1">
      <w:start w:val="1"/>
      <w:numFmt w:val="bullet"/>
      <w:lvlText w:val=""/>
      <w:lvlJc w:val="left"/>
      <w:pPr>
        <w:ind w:left="2880" w:hanging="480"/>
      </w:pPr>
      <w:rPr>
        <w:rFonts w:ascii="Wingdings" w:hAnsi="Wingdings" w:hint="default"/>
      </w:rPr>
    </w:lvl>
    <w:lvl w:ilvl="6" w:tplc="A4B400A6" w:tentative="1">
      <w:start w:val="1"/>
      <w:numFmt w:val="bullet"/>
      <w:lvlText w:val=""/>
      <w:lvlJc w:val="left"/>
      <w:pPr>
        <w:ind w:left="3360" w:hanging="480"/>
      </w:pPr>
      <w:rPr>
        <w:rFonts w:ascii="Wingdings" w:hAnsi="Wingdings" w:hint="default"/>
      </w:rPr>
    </w:lvl>
    <w:lvl w:ilvl="7" w:tplc="4D320690" w:tentative="1">
      <w:start w:val="1"/>
      <w:numFmt w:val="bullet"/>
      <w:lvlText w:val=""/>
      <w:lvlJc w:val="left"/>
      <w:pPr>
        <w:ind w:left="3840" w:hanging="480"/>
      </w:pPr>
      <w:rPr>
        <w:rFonts w:ascii="Wingdings" w:hAnsi="Wingdings" w:hint="default"/>
      </w:rPr>
    </w:lvl>
    <w:lvl w:ilvl="8" w:tplc="07ACC6D2" w:tentative="1">
      <w:start w:val="1"/>
      <w:numFmt w:val="bullet"/>
      <w:lvlText w:val=""/>
      <w:lvlJc w:val="left"/>
      <w:pPr>
        <w:ind w:left="4320" w:hanging="480"/>
      </w:pPr>
      <w:rPr>
        <w:rFonts w:ascii="Wingdings" w:hAnsi="Wingdings" w:hint="default"/>
      </w:rPr>
    </w:lvl>
  </w:abstractNum>
  <w:abstractNum w:abstractNumId="2" w15:restartNumberingAfterBreak="0">
    <w:nsid w:val="4CF212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D16AC9"/>
    <w:multiLevelType w:val="hybridMultilevel"/>
    <w:tmpl w:val="09F2F598"/>
    <w:lvl w:ilvl="0" w:tplc="10723878">
      <w:start w:val="1"/>
      <w:numFmt w:val="decimal"/>
      <w:lvlText w:val="%1."/>
      <w:lvlJc w:val="left"/>
      <w:pPr>
        <w:ind w:left="720" w:hanging="360"/>
      </w:pPr>
      <w:rPr>
        <w:rFonts w:hint="default"/>
      </w:rPr>
    </w:lvl>
    <w:lvl w:ilvl="1" w:tplc="BD5AD1B6" w:tentative="1">
      <w:start w:val="1"/>
      <w:numFmt w:val="lowerLetter"/>
      <w:lvlText w:val="%2."/>
      <w:lvlJc w:val="left"/>
      <w:pPr>
        <w:ind w:left="1440" w:hanging="360"/>
      </w:pPr>
    </w:lvl>
    <w:lvl w:ilvl="2" w:tplc="D6DC3E6C" w:tentative="1">
      <w:start w:val="1"/>
      <w:numFmt w:val="lowerRoman"/>
      <w:lvlText w:val="%3."/>
      <w:lvlJc w:val="right"/>
      <w:pPr>
        <w:ind w:left="2160" w:hanging="180"/>
      </w:pPr>
    </w:lvl>
    <w:lvl w:ilvl="3" w:tplc="1C820844" w:tentative="1">
      <w:start w:val="1"/>
      <w:numFmt w:val="decimal"/>
      <w:lvlText w:val="%4."/>
      <w:lvlJc w:val="left"/>
      <w:pPr>
        <w:ind w:left="2880" w:hanging="360"/>
      </w:pPr>
    </w:lvl>
    <w:lvl w:ilvl="4" w:tplc="60A297C0" w:tentative="1">
      <w:start w:val="1"/>
      <w:numFmt w:val="lowerLetter"/>
      <w:lvlText w:val="%5."/>
      <w:lvlJc w:val="left"/>
      <w:pPr>
        <w:ind w:left="3600" w:hanging="360"/>
      </w:pPr>
    </w:lvl>
    <w:lvl w:ilvl="5" w:tplc="3C062B1C" w:tentative="1">
      <w:start w:val="1"/>
      <w:numFmt w:val="lowerRoman"/>
      <w:lvlText w:val="%6."/>
      <w:lvlJc w:val="right"/>
      <w:pPr>
        <w:ind w:left="4320" w:hanging="180"/>
      </w:pPr>
    </w:lvl>
    <w:lvl w:ilvl="6" w:tplc="51B294C8" w:tentative="1">
      <w:start w:val="1"/>
      <w:numFmt w:val="decimal"/>
      <w:lvlText w:val="%7."/>
      <w:lvlJc w:val="left"/>
      <w:pPr>
        <w:ind w:left="5040" w:hanging="360"/>
      </w:pPr>
    </w:lvl>
    <w:lvl w:ilvl="7" w:tplc="6436C78A" w:tentative="1">
      <w:start w:val="1"/>
      <w:numFmt w:val="lowerLetter"/>
      <w:lvlText w:val="%8."/>
      <w:lvlJc w:val="left"/>
      <w:pPr>
        <w:ind w:left="5760" w:hanging="360"/>
      </w:pPr>
    </w:lvl>
    <w:lvl w:ilvl="8" w:tplc="710EB94E" w:tentative="1">
      <w:start w:val="1"/>
      <w:numFmt w:val="lowerRoman"/>
      <w:lvlText w:val="%9."/>
      <w:lvlJc w:val="right"/>
      <w:pPr>
        <w:ind w:left="6480" w:hanging="180"/>
      </w:pPr>
    </w:lvl>
  </w:abstractNum>
  <w:abstractNum w:abstractNumId="4" w15:restartNumberingAfterBreak="0">
    <w:nsid w:val="5BCF5A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82672E"/>
    <w:multiLevelType w:val="multilevel"/>
    <w:tmpl w:val="E24047E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754F23"/>
    <w:multiLevelType w:val="hybridMultilevel"/>
    <w:tmpl w:val="6AAA6E90"/>
    <w:lvl w:ilvl="0" w:tplc="F21EF86E">
      <w:start w:val="1"/>
      <w:numFmt w:val="decimal"/>
      <w:lvlText w:val="%1."/>
      <w:lvlJc w:val="left"/>
      <w:pPr>
        <w:ind w:left="1080" w:hanging="360"/>
      </w:pPr>
      <w:rPr>
        <w:rFonts w:hint="default"/>
      </w:rPr>
    </w:lvl>
    <w:lvl w:ilvl="1" w:tplc="3F2E41B0">
      <w:start w:val="1"/>
      <w:numFmt w:val="lowerLetter"/>
      <w:lvlText w:val="%2."/>
      <w:lvlJc w:val="left"/>
      <w:pPr>
        <w:ind w:left="1800" w:hanging="360"/>
      </w:pPr>
    </w:lvl>
    <w:lvl w:ilvl="2" w:tplc="8E5CEAC4" w:tentative="1">
      <w:start w:val="1"/>
      <w:numFmt w:val="lowerRoman"/>
      <w:lvlText w:val="%3."/>
      <w:lvlJc w:val="right"/>
      <w:pPr>
        <w:ind w:left="2520" w:hanging="180"/>
      </w:pPr>
    </w:lvl>
    <w:lvl w:ilvl="3" w:tplc="F05ECAD6" w:tentative="1">
      <w:start w:val="1"/>
      <w:numFmt w:val="decimal"/>
      <w:lvlText w:val="%4."/>
      <w:lvlJc w:val="left"/>
      <w:pPr>
        <w:ind w:left="3240" w:hanging="360"/>
      </w:pPr>
    </w:lvl>
    <w:lvl w:ilvl="4" w:tplc="ECD68F66" w:tentative="1">
      <w:start w:val="1"/>
      <w:numFmt w:val="lowerLetter"/>
      <w:lvlText w:val="%5."/>
      <w:lvlJc w:val="left"/>
      <w:pPr>
        <w:ind w:left="3960" w:hanging="360"/>
      </w:pPr>
    </w:lvl>
    <w:lvl w:ilvl="5" w:tplc="C3C01BA0" w:tentative="1">
      <w:start w:val="1"/>
      <w:numFmt w:val="lowerRoman"/>
      <w:lvlText w:val="%6."/>
      <w:lvlJc w:val="right"/>
      <w:pPr>
        <w:ind w:left="4680" w:hanging="180"/>
      </w:pPr>
    </w:lvl>
    <w:lvl w:ilvl="6" w:tplc="0D1676E8" w:tentative="1">
      <w:start w:val="1"/>
      <w:numFmt w:val="decimal"/>
      <w:lvlText w:val="%7."/>
      <w:lvlJc w:val="left"/>
      <w:pPr>
        <w:ind w:left="5400" w:hanging="360"/>
      </w:pPr>
    </w:lvl>
    <w:lvl w:ilvl="7" w:tplc="068A23D4" w:tentative="1">
      <w:start w:val="1"/>
      <w:numFmt w:val="lowerLetter"/>
      <w:lvlText w:val="%8."/>
      <w:lvlJc w:val="left"/>
      <w:pPr>
        <w:ind w:left="6120" w:hanging="360"/>
      </w:pPr>
    </w:lvl>
    <w:lvl w:ilvl="8" w:tplc="01A69A52"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bordersDoNotSurroundHeader/>
  <w:bordersDoNotSurroundFooter/>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2NDQ2MjUxNTewMDdR0lEKTi0uzszPAymwqAUAJ/2TOSwAAAA="/>
    <w:docVar w:name="EN.InstantFormat" w:val="&lt;ENInstantFormat&gt;&lt;Enabled&gt;1&lt;/Enabled&gt;&lt;ScanUnformatted&gt;1&lt;/ScanUnformatted&gt;&lt;ScanChanges&gt;1&lt;/ScanChanges&gt;&lt;Suspended&gt;1&lt;/Suspended&gt;&lt;/ENInstantFormat&gt;"/>
    <w:docVar w:name="EN.Layout" w:val="&lt;ENLayout&gt;&lt;Style&gt;APA 7th-Annotated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zvpevr2jp9vdqexvrhx25tn22tztea9pddt&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7&lt;/item&gt;&lt;item&gt;78&lt;/item&gt;&lt;/record-ids&gt;&lt;/item&gt;&lt;/Libraries&gt;"/>
  </w:docVars>
  <w:rsids>
    <w:rsidRoot w:val="0057675D"/>
    <w:rsid w:val="000231F5"/>
    <w:rsid w:val="00025DF0"/>
    <w:rsid w:val="0003256F"/>
    <w:rsid w:val="00032784"/>
    <w:rsid w:val="00032C5C"/>
    <w:rsid w:val="00052F42"/>
    <w:rsid w:val="00064EF1"/>
    <w:rsid w:val="0009055E"/>
    <w:rsid w:val="000974F4"/>
    <w:rsid w:val="000C3633"/>
    <w:rsid w:val="000C3CC7"/>
    <w:rsid w:val="000C5081"/>
    <w:rsid w:val="000E0A44"/>
    <w:rsid w:val="000F2240"/>
    <w:rsid w:val="00100BB0"/>
    <w:rsid w:val="00106A08"/>
    <w:rsid w:val="00107947"/>
    <w:rsid w:val="001111FA"/>
    <w:rsid w:val="00116781"/>
    <w:rsid w:val="00121616"/>
    <w:rsid w:val="00127D0C"/>
    <w:rsid w:val="0014110B"/>
    <w:rsid w:val="00173B4B"/>
    <w:rsid w:val="0017634A"/>
    <w:rsid w:val="00181DEB"/>
    <w:rsid w:val="001902AF"/>
    <w:rsid w:val="00193887"/>
    <w:rsid w:val="0019709A"/>
    <w:rsid w:val="001A0100"/>
    <w:rsid w:val="001A40F4"/>
    <w:rsid w:val="001B38DA"/>
    <w:rsid w:val="001B4306"/>
    <w:rsid w:val="001D185F"/>
    <w:rsid w:val="001D563D"/>
    <w:rsid w:val="001F7877"/>
    <w:rsid w:val="0020093C"/>
    <w:rsid w:val="0022305A"/>
    <w:rsid w:val="00252D44"/>
    <w:rsid w:val="00254251"/>
    <w:rsid w:val="002554D1"/>
    <w:rsid w:val="0026259F"/>
    <w:rsid w:val="002636E0"/>
    <w:rsid w:val="00283053"/>
    <w:rsid w:val="0028504B"/>
    <w:rsid w:val="002A1281"/>
    <w:rsid w:val="002A686E"/>
    <w:rsid w:val="002B036C"/>
    <w:rsid w:val="003148D2"/>
    <w:rsid w:val="003207FA"/>
    <w:rsid w:val="003229A8"/>
    <w:rsid w:val="00326AB6"/>
    <w:rsid w:val="00331B14"/>
    <w:rsid w:val="003350FC"/>
    <w:rsid w:val="00342198"/>
    <w:rsid w:val="0035137E"/>
    <w:rsid w:val="0037255E"/>
    <w:rsid w:val="003872B0"/>
    <w:rsid w:val="003A25A0"/>
    <w:rsid w:val="003B591F"/>
    <w:rsid w:val="003B7F5E"/>
    <w:rsid w:val="003C568D"/>
    <w:rsid w:val="003D0983"/>
    <w:rsid w:val="003D5CD2"/>
    <w:rsid w:val="003E1376"/>
    <w:rsid w:val="003E5C27"/>
    <w:rsid w:val="00445D1E"/>
    <w:rsid w:val="00472A89"/>
    <w:rsid w:val="00486A14"/>
    <w:rsid w:val="004934D9"/>
    <w:rsid w:val="004B1273"/>
    <w:rsid w:val="004C3F45"/>
    <w:rsid w:val="004F0DBE"/>
    <w:rsid w:val="004F6F02"/>
    <w:rsid w:val="00513B34"/>
    <w:rsid w:val="00517121"/>
    <w:rsid w:val="00521159"/>
    <w:rsid w:val="0054184D"/>
    <w:rsid w:val="00541E73"/>
    <w:rsid w:val="00543634"/>
    <w:rsid w:val="0057675D"/>
    <w:rsid w:val="00580924"/>
    <w:rsid w:val="00583BDA"/>
    <w:rsid w:val="005848E6"/>
    <w:rsid w:val="005A753C"/>
    <w:rsid w:val="005B2097"/>
    <w:rsid w:val="005B4210"/>
    <w:rsid w:val="005B489C"/>
    <w:rsid w:val="005B7B9E"/>
    <w:rsid w:val="005D6E42"/>
    <w:rsid w:val="005E523C"/>
    <w:rsid w:val="005E694C"/>
    <w:rsid w:val="005F01E8"/>
    <w:rsid w:val="005F594D"/>
    <w:rsid w:val="005F6FC0"/>
    <w:rsid w:val="006124D2"/>
    <w:rsid w:val="00615574"/>
    <w:rsid w:val="00627EE6"/>
    <w:rsid w:val="0063194B"/>
    <w:rsid w:val="00641681"/>
    <w:rsid w:val="00650C34"/>
    <w:rsid w:val="00655A75"/>
    <w:rsid w:val="00660C9E"/>
    <w:rsid w:val="00661C71"/>
    <w:rsid w:val="00661E72"/>
    <w:rsid w:val="00663CD0"/>
    <w:rsid w:val="006839D6"/>
    <w:rsid w:val="006865B1"/>
    <w:rsid w:val="0069462D"/>
    <w:rsid w:val="00695727"/>
    <w:rsid w:val="006A0B04"/>
    <w:rsid w:val="006A6028"/>
    <w:rsid w:val="006F1227"/>
    <w:rsid w:val="006F3455"/>
    <w:rsid w:val="007232C8"/>
    <w:rsid w:val="00735FF9"/>
    <w:rsid w:val="00745F12"/>
    <w:rsid w:val="007C5CC3"/>
    <w:rsid w:val="007E11FE"/>
    <w:rsid w:val="00806AAE"/>
    <w:rsid w:val="00813914"/>
    <w:rsid w:val="00816C6E"/>
    <w:rsid w:val="00821386"/>
    <w:rsid w:val="00825E4D"/>
    <w:rsid w:val="00827A56"/>
    <w:rsid w:val="0085082D"/>
    <w:rsid w:val="00853AED"/>
    <w:rsid w:val="008B30AA"/>
    <w:rsid w:val="008B3BF0"/>
    <w:rsid w:val="008D042F"/>
    <w:rsid w:val="008D6337"/>
    <w:rsid w:val="008E6926"/>
    <w:rsid w:val="008F495A"/>
    <w:rsid w:val="00915F51"/>
    <w:rsid w:val="00931359"/>
    <w:rsid w:val="009375A3"/>
    <w:rsid w:val="0095460B"/>
    <w:rsid w:val="009754EE"/>
    <w:rsid w:val="00980FFE"/>
    <w:rsid w:val="00981552"/>
    <w:rsid w:val="00981691"/>
    <w:rsid w:val="009B1458"/>
    <w:rsid w:val="009C6EA4"/>
    <w:rsid w:val="009D4ECC"/>
    <w:rsid w:val="009F5538"/>
    <w:rsid w:val="009F5D57"/>
    <w:rsid w:val="00A00C07"/>
    <w:rsid w:val="00A03BE2"/>
    <w:rsid w:val="00A20C51"/>
    <w:rsid w:val="00A50674"/>
    <w:rsid w:val="00A5069C"/>
    <w:rsid w:val="00A632E8"/>
    <w:rsid w:val="00A76C1B"/>
    <w:rsid w:val="00A8505F"/>
    <w:rsid w:val="00A930A8"/>
    <w:rsid w:val="00A9665A"/>
    <w:rsid w:val="00AB061D"/>
    <w:rsid w:val="00AB0A90"/>
    <w:rsid w:val="00AC46F1"/>
    <w:rsid w:val="00AD1348"/>
    <w:rsid w:val="00AE0EAE"/>
    <w:rsid w:val="00AE1602"/>
    <w:rsid w:val="00B07CAB"/>
    <w:rsid w:val="00B110F9"/>
    <w:rsid w:val="00B12EFE"/>
    <w:rsid w:val="00B22FF4"/>
    <w:rsid w:val="00B41549"/>
    <w:rsid w:val="00B42781"/>
    <w:rsid w:val="00B464A1"/>
    <w:rsid w:val="00B54DD7"/>
    <w:rsid w:val="00BA38D3"/>
    <w:rsid w:val="00BC3138"/>
    <w:rsid w:val="00BE37D2"/>
    <w:rsid w:val="00BE657D"/>
    <w:rsid w:val="00BF5AF3"/>
    <w:rsid w:val="00C251D6"/>
    <w:rsid w:val="00C43F65"/>
    <w:rsid w:val="00C55308"/>
    <w:rsid w:val="00C662A2"/>
    <w:rsid w:val="00C72765"/>
    <w:rsid w:val="00C75000"/>
    <w:rsid w:val="00CA7BB6"/>
    <w:rsid w:val="00CB657C"/>
    <w:rsid w:val="00CC235E"/>
    <w:rsid w:val="00CC530B"/>
    <w:rsid w:val="00CC78D4"/>
    <w:rsid w:val="00D10A11"/>
    <w:rsid w:val="00D370C4"/>
    <w:rsid w:val="00D650BF"/>
    <w:rsid w:val="00D725B9"/>
    <w:rsid w:val="00D80C5F"/>
    <w:rsid w:val="00D85009"/>
    <w:rsid w:val="00D90CDF"/>
    <w:rsid w:val="00D94758"/>
    <w:rsid w:val="00DA293E"/>
    <w:rsid w:val="00DA419A"/>
    <w:rsid w:val="00DB173A"/>
    <w:rsid w:val="00DB4F1E"/>
    <w:rsid w:val="00DB6ADD"/>
    <w:rsid w:val="00DC2A44"/>
    <w:rsid w:val="00DC2CA9"/>
    <w:rsid w:val="00DC5618"/>
    <w:rsid w:val="00DF0C4F"/>
    <w:rsid w:val="00E01171"/>
    <w:rsid w:val="00E016F0"/>
    <w:rsid w:val="00E01A58"/>
    <w:rsid w:val="00E05E2D"/>
    <w:rsid w:val="00E13B67"/>
    <w:rsid w:val="00E1620D"/>
    <w:rsid w:val="00E23D30"/>
    <w:rsid w:val="00E258D8"/>
    <w:rsid w:val="00E64173"/>
    <w:rsid w:val="00E81E9E"/>
    <w:rsid w:val="00E81ED6"/>
    <w:rsid w:val="00E83D76"/>
    <w:rsid w:val="00E875FA"/>
    <w:rsid w:val="00EA33C0"/>
    <w:rsid w:val="00EB07E1"/>
    <w:rsid w:val="00EB2D8F"/>
    <w:rsid w:val="00ED4759"/>
    <w:rsid w:val="00EF3435"/>
    <w:rsid w:val="00EF651D"/>
    <w:rsid w:val="00EF6A12"/>
    <w:rsid w:val="00F02158"/>
    <w:rsid w:val="00F25D99"/>
    <w:rsid w:val="00F73BC6"/>
    <w:rsid w:val="00F73E2E"/>
    <w:rsid w:val="00F77D83"/>
    <w:rsid w:val="00F83D39"/>
    <w:rsid w:val="00F97951"/>
    <w:rsid w:val="00FB7E07"/>
    <w:rsid w:val="00FE01F8"/>
    <w:rsid w:val="00FF37AE"/>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6C8F"/>
  <w15:docId w15:val="{45F4EC55-AE88-4E0A-B74F-E938EF51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line="276" w:lineRule="auto"/>
        <w:ind w:left="425" w:right="425"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75D"/>
    <w:pPr>
      <w:spacing w:after="160" w:line="259" w:lineRule="auto"/>
      <w:ind w:left="0" w:right="0" w:firstLine="0"/>
      <w:jc w:val="left"/>
    </w:pPr>
    <w:rPr>
      <w:lang w:bidi="ar-SA"/>
    </w:rPr>
  </w:style>
  <w:style w:type="paragraph" w:styleId="1">
    <w:name w:val="heading 1"/>
    <w:basedOn w:val="a"/>
    <w:next w:val="a"/>
    <w:link w:val="10"/>
    <w:uiPriority w:val="9"/>
    <w:qFormat/>
    <w:rsid w:val="00D10A11"/>
    <w:pPr>
      <w:keepNext/>
      <w:keepLines/>
      <w:spacing w:before="480"/>
      <w:outlineLvl w:val="0"/>
    </w:pPr>
    <w:rPr>
      <w:rFonts w:asciiTheme="majorHAnsi" w:eastAsiaTheme="majorEastAsia" w:hAnsiTheme="majorHAnsi" w:cs="B Nazanin"/>
      <w:b/>
      <w:bCs/>
      <w:sz w:val="28"/>
      <w:szCs w:val="28"/>
    </w:rPr>
  </w:style>
  <w:style w:type="paragraph" w:styleId="2">
    <w:name w:val="heading 2"/>
    <w:basedOn w:val="a"/>
    <w:next w:val="a"/>
    <w:link w:val="20"/>
    <w:uiPriority w:val="9"/>
    <w:unhideWhenUsed/>
    <w:qFormat/>
    <w:rsid w:val="00D10A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0A1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تیتر"/>
    <w:basedOn w:val="a"/>
    <w:qFormat/>
    <w:rsid w:val="00D10A11"/>
    <w:pPr>
      <w:bidi/>
      <w:spacing w:before="200" w:line="240" w:lineRule="auto"/>
    </w:pPr>
    <w:rPr>
      <w:rFonts w:cs="B Mitra"/>
      <w:b/>
      <w:bCs/>
      <w:sz w:val="32"/>
      <w:szCs w:val="32"/>
    </w:rPr>
  </w:style>
  <w:style w:type="character" w:customStyle="1" w:styleId="10">
    <w:name w:val="標題 1 字元"/>
    <w:basedOn w:val="a0"/>
    <w:link w:val="1"/>
    <w:uiPriority w:val="9"/>
    <w:rsid w:val="00D10A11"/>
    <w:rPr>
      <w:rFonts w:asciiTheme="majorHAnsi" w:eastAsiaTheme="majorEastAsia" w:hAnsiTheme="majorHAnsi" w:cs="B Nazanin"/>
      <w:b/>
      <w:bCs/>
      <w:sz w:val="28"/>
      <w:szCs w:val="28"/>
    </w:rPr>
  </w:style>
  <w:style w:type="character" w:customStyle="1" w:styleId="20">
    <w:name w:val="標題 2 字元"/>
    <w:basedOn w:val="a0"/>
    <w:link w:val="2"/>
    <w:uiPriority w:val="9"/>
    <w:rsid w:val="00D10A11"/>
    <w:rPr>
      <w:rFonts w:asciiTheme="majorHAnsi" w:eastAsiaTheme="majorEastAsia" w:hAnsiTheme="majorHAnsi" w:cstheme="majorBidi"/>
      <w:b/>
      <w:bCs/>
      <w:color w:val="4F81BD" w:themeColor="accent1"/>
      <w:sz w:val="26"/>
      <w:szCs w:val="26"/>
    </w:rPr>
  </w:style>
  <w:style w:type="character" w:customStyle="1" w:styleId="30">
    <w:name w:val="標題 3 字元"/>
    <w:basedOn w:val="a0"/>
    <w:link w:val="3"/>
    <w:uiPriority w:val="9"/>
    <w:semiHidden/>
    <w:rsid w:val="00D10A11"/>
    <w:rPr>
      <w:rFonts w:asciiTheme="majorHAnsi" w:eastAsiaTheme="majorEastAsia" w:hAnsiTheme="majorHAnsi" w:cstheme="majorBidi"/>
      <w:b/>
      <w:bCs/>
      <w:color w:val="4F81BD" w:themeColor="accent1"/>
    </w:rPr>
  </w:style>
  <w:style w:type="paragraph" w:styleId="a4">
    <w:name w:val="Title"/>
    <w:basedOn w:val="a"/>
    <w:next w:val="a"/>
    <w:link w:val="a5"/>
    <w:uiPriority w:val="10"/>
    <w:qFormat/>
    <w:rsid w:val="00D10A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標題 字元"/>
    <w:basedOn w:val="a0"/>
    <w:link w:val="a4"/>
    <w:uiPriority w:val="10"/>
    <w:rsid w:val="00D10A1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10A11"/>
    <w:pPr>
      <w:numPr>
        <w:ilvl w:val="1"/>
      </w:numPr>
      <w:ind w:left="425" w:firstLine="284"/>
    </w:pPr>
    <w:rPr>
      <w:rFonts w:asciiTheme="majorHAnsi" w:eastAsiaTheme="majorEastAsia" w:hAnsiTheme="majorHAnsi" w:cstheme="majorBidi"/>
      <w:i/>
      <w:iCs/>
      <w:color w:val="4F81BD" w:themeColor="accent1"/>
      <w:spacing w:val="15"/>
      <w:sz w:val="24"/>
      <w:szCs w:val="24"/>
    </w:rPr>
  </w:style>
  <w:style w:type="character" w:customStyle="1" w:styleId="a7">
    <w:name w:val="副標題 字元"/>
    <w:basedOn w:val="a0"/>
    <w:link w:val="a6"/>
    <w:uiPriority w:val="11"/>
    <w:rsid w:val="00D10A11"/>
    <w:rPr>
      <w:rFonts w:asciiTheme="majorHAnsi" w:eastAsiaTheme="majorEastAsia" w:hAnsiTheme="majorHAnsi" w:cstheme="majorBidi"/>
      <w:i/>
      <w:iCs/>
      <w:color w:val="4F81BD" w:themeColor="accent1"/>
      <w:spacing w:val="15"/>
      <w:sz w:val="24"/>
      <w:szCs w:val="24"/>
    </w:rPr>
  </w:style>
  <w:style w:type="paragraph" w:styleId="a8">
    <w:name w:val="No Spacing"/>
    <w:link w:val="a9"/>
    <w:uiPriority w:val="1"/>
    <w:qFormat/>
    <w:rsid w:val="00D10A11"/>
    <w:pPr>
      <w:spacing w:line="240" w:lineRule="auto"/>
    </w:pPr>
  </w:style>
  <w:style w:type="paragraph" w:styleId="aa">
    <w:name w:val="List Paragraph"/>
    <w:basedOn w:val="a"/>
    <w:uiPriority w:val="34"/>
    <w:qFormat/>
    <w:rsid w:val="00D10A11"/>
    <w:pPr>
      <w:ind w:left="720"/>
      <w:contextualSpacing/>
    </w:pPr>
  </w:style>
  <w:style w:type="paragraph" w:styleId="ab">
    <w:name w:val="TOC Heading"/>
    <w:basedOn w:val="1"/>
    <w:next w:val="a"/>
    <w:uiPriority w:val="39"/>
    <w:unhideWhenUsed/>
    <w:qFormat/>
    <w:rsid w:val="00D10A11"/>
    <w:pPr>
      <w:outlineLvl w:val="9"/>
    </w:pPr>
    <w:rPr>
      <w:rFonts w:cstheme="majorBidi"/>
      <w:color w:val="365F91" w:themeColor="accent1" w:themeShade="BF"/>
      <w:lang w:eastAsia="ja-JP"/>
    </w:rPr>
  </w:style>
  <w:style w:type="paragraph" w:styleId="ac">
    <w:name w:val="header"/>
    <w:basedOn w:val="a"/>
    <w:link w:val="ad"/>
    <w:unhideWhenUsed/>
    <w:rsid w:val="0057675D"/>
    <w:pPr>
      <w:tabs>
        <w:tab w:val="center" w:pos="4680"/>
        <w:tab w:val="right" w:pos="9360"/>
      </w:tabs>
      <w:spacing w:after="0" w:line="240" w:lineRule="auto"/>
    </w:pPr>
  </w:style>
  <w:style w:type="character" w:customStyle="1" w:styleId="ad">
    <w:name w:val="頁首 字元"/>
    <w:basedOn w:val="a0"/>
    <w:link w:val="ac"/>
    <w:rsid w:val="0057675D"/>
    <w:rPr>
      <w:rFonts w:eastAsiaTheme="minorEastAsia"/>
      <w:lang w:bidi="ar-SA"/>
    </w:rPr>
  </w:style>
  <w:style w:type="paragraph" w:styleId="ae">
    <w:name w:val="footer"/>
    <w:basedOn w:val="a"/>
    <w:link w:val="af"/>
    <w:uiPriority w:val="99"/>
    <w:unhideWhenUsed/>
    <w:rsid w:val="0057675D"/>
    <w:pPr>
      <w:tabs>
        <w:tab w:val="center" w:pos="4680"/>
        <w:tab w:val="right" w:pos="9360"/>
      </w:tabs>
      <w:spacing w:after="0" w:line="240" w:lineRule="auto"/>
    </w:pPr>
  </w:style>
  <w:style w:type="character" w:customStyle="1" w:styleId="af">
    <w:name w:val="頁尾 字元"/>
    <w:basedOn w:val="a0"/>
    <w:link w:val="ae"/>
    <w:uiPriority w:val="99"/>
    <w:rsid w:val="0057675D"/>
    <w:rPr>
      <w:rFonts w:eastAsiaTheme="minorEastAsia"/>
      <w:lang w:bidi="ar-SA"/>
    </w:rPr>
  </w:style>
  <w:style w:type="character" w:styleId="af0">
    <w:name w:val="Hyperlink"/>
    <w:basedOn w:val="a0"/>
    <w:uiPriority w:val="99"/>
    <w:unhideWhenUsed/>
    <w:rsid w:val="0057675D"/>
    <w:rPr>
      <w:color w:val="0000FF" w:themeColor="hyperlink"/>
      <w:u w:val="single"/>
    </w:rPr>
  </w:style>
  <w:style w:type="table" w:styleId="af1">
    <w:name w:val="Table Grid"/>
    <w:basedOn w:val="a1"/>
    <w:uiPriority w:val="39"/>
    <w:rsid w:val="0057675D"/>
    <w:pPr>
      <w:spacing w:line="240" w:lineRule="auto"/>
      <w:ind w:left="0" w:right="0" w:firstLine="0"/>
      <w:jc w:val="lef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57675D"/>
    <w:rPr>
      <w:color w:val="800080" w:themeColor="followedHyperlink"/>
      <w:u w:val="single"/>
    </w:rPr>
  </w:style>
  <w:style w:type="table" w:customStyle="1" w:styleId="PlainTable21">
    <w:name w:val="Plain Table 21"/>
    <w:basedOn w:val="a1"/>
    <w:uiPriority w:val="42"/>
    <w:rsid w:val="0057675D"/>
    <w:pPr>
      <w:spacing w:line="240" w:lineRule="auto"/>
      <w:ind w:left="0" w:right="0" w:firstLine="0"/>
      <w:jc w:val="left"/>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3">
    <w:name w:val="Balloon Text"/>
    <w:basedOn w:val="a"/>
    <w:link w:val="af4"/>
    <w:uiPriority w:val="99"/>
    <w:semiHidden/>
    <w:unhideWhenUsed/>
    <w:rsid w:val="0057675D"/>
    <w:pPr>
      <w:spacing w:after="0" w:line="240" w:lineRule="auto"/>
    </w:pPr>
    <w:rPr>
      <w:rFonts w:ascii="Tahoma" w:hAnsi="Tahoma" w:cs="Tahoma"/>
      <w:sz w:val="16"/>
      <w:szCs w:val="16"/>
    </w:rPr>
  </w:style>
  <w:style w:type="character" w:customStyle="1" w:styleId="af4">
    <w:name w:val="註解方塊文字 字元"/>
    <w:basedOn w:val="a0"/>
    <w:link w:val="af3"/>
    <w:uiPriority w:val="99"/>
    <w:semiHidden/>
    <w:rsid w:val="0057675D"/>
    <w:rPr>
      <w:rFonts w:ascii="Tahoma" w:eastAsiaTheme="minorEastAsia" w:hAnsi="Tahoma" w:cs="Tahoma"/>
      <w:sz w:val="16"/>
      <w:szCs w:val="16"/>
      <w:lang w:bidi="ar-SA"/>
    </w:rPr>
  </w:style>
  <w:style w:type="character" w:styleId="af5">
    <w:name w:val="footnote reference"/>
    <w:aliases w:val="شماره زيرنويس,Omid Footnote, Char Char1 Char,Char Char1 Char,ÔãÇÑå ÒíÑäæíÓ,Footnote,مرجع پاورقي,ارجاعات,شماره پ"/>
    <w:uiPriority w:val="99"/>
    <w:qFormat/>
    <w:rsid w:val="0057675D"/>
    <w:rPr>
      <w:vertAlign w:val="superscript"/>
    </w:rPr>
  </w:style>
  <w:style w:type="paragraph" w:customStyle="1" w:styleId="af6">
    <w:name w:val="پاورقی"/>
    <w:autoRedefine/>
    <w:qFormat/>
    <w:rsid w:val="0057675D"/>
    <w:pPr>
      <w:widowControl w:val="0"/>
      <w:bidi/>
      <w:spacing w:line="192" w:lineRule="auto"/>
      <w:ind w:left="0" w:right="0" w:firstLine="0"/>
      <w:jc w:val="lowKashida"/>
    </w:pPr>
    <w:rPr>
      <w:rFonts w:ascii="Times New Roman" w:eastAsia="Times New Roman" w:hAnsi="Times New Roman" w:cs="B Lotus"/>
      <w:sz w:val="16"/>
      <w:szCs w:val="20"/>
      <w:lang w:bidi="ar-SA"/>
    </w:rPr>
  </w:style>
  <w:style w:type="table" w:customStyle="1" w:styleId="TableGrid1">
    <w:name w:val="Table Grid1"/>
    <w:basedOn w:val="a1"/>
    <w:next w:val="af1"/>
    <w:uiPriority w:val="39"/>
    <w:rsid w:val="005767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57675D"/>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57675D"/>
    <w:rPr>
      <w:rFonts w:ascii="Calibri" w:hAnsi="Calibri" w:cs="Calibri"/>
      <w:noProof/>
      <w:lang w:bidi="ar-SA"/>
    </w:rPr>
  </w:style>
  <w:style w:type="paragraph" w:customStyle="1" w:styleId="EndNoteBibliography">
    <w:name w:val="EndNote Bibliography"/>
    <w:basedOn w:val="a"/>
    <w:link w:val="EndNoteBibliographyChar"/>
    <w:rsid w:val="0057675D"/>
    <w:pPr>
      <w:spacing w:line="240" w:lineRule="auto"/>
      <w:jc w:val="lowKashida"/>
    </w:pPr>
    <w:rPr>
      <w:rFonts w:ascii="Calibri" w:hAnsi="Calibri" w:cs="Calibri"/>
      <w:noProof/>
    </w:rPr>
  </w:style>
  <w:style w:type="character" w:customStyle="1" w:styleId="EndNoteBibliographyChar">
    <w:name w:val="EndNote Bibliography Char"/>
    <w:basedOn w:val="a0"/>
    <w:link w:val="EndNoteBibliography"/>
    <w:rsid w:val="0057675D"/>
    <w:rPr>
      <w:rFonts w:ascii="Calibri" w:hAnsi="Calibri" w:cs="Calibri"/>
      <w:noProof/>
      <w:lang w:bidi="ar-SA"/>
    </w:rPr>
  </w:style>
  <w:style w:type="character" w:styleId="af7">
    <w:name w:val="line number"/>
    <w:basedOn w:val="a0"/>
    <w:uiPriority w:val="99"/>
    <w:semiHidden/>
    <w:unhideWhenUsed/>
    <w:rsid w:val="0057675D"/>
  </w:style>
  <w:style w:type="character" w:styleId="af8">
    <w:name w:val="annotation reference"/>
    <w:basedOn w:val="a0"/>
    <w:uiPriority w:val="99"/>
    <w:semiHidden/>
    <w:unhideWhenUsed/>
    <w:rsid w:val="0057675D"/>
    <w:rPr>
      <w:sz w:val="18"/>
      <w:szCs w:val="18"/>
    </w:rPr>
  </w:style>
  <w:style w:type="paragraph" w:styleId="af9">
    <w:name w:val="annotation text"/>
    <w:basedOn w:val="a"/>
    <w:link w:val="afa"/>
    <w:uiPriority w:val="99"/>
    <w:unhideWhenUsed/>
    <w:rsid w:val="0057675D"/>
  </w:style>
  <w:style w:type="character" w:customStyle="1" w:styleId="afa">
    <w:name w:val="註解文字 字元"/>
    <w:basedOn w:val="a0"/>
    <w:link w:val="af9"/>
    <w:uiPriority w:val="99"/>
    <w:rsid w:val="0057675D"/>
    <w:rPr>
      <w:rFonts w:eastAsiaTheme="minorEastAsia"/>
      <w:lang w:bidi="ar-SA"/>
    </w:rPr>
  </w:style>
  <w:style w:type="paragraph" w:styleId="afb">
    <w:name w:val="annotation subject"/>
    <w:basedOn w:val="af9"/>
    <w:next w:val="af9"/>
    <w:link w:val="afc"/>
    <w:uiPriority w:val="99"/>
    <w:semiHidden/>
    <w:unhideWhenUsed/>
    <w:rsid w:val="0057675D"/>
    <w:rPr>
      <w:b/>
      <w:bCs/>
    </w:rPr>
  </w:style>
  <w:style w:type="character" w:customStyle="1" w:styleId="afc">
    <w:name w:val="註解主旨 字元"/>
    <w:basedOn w:val="afa"/>
    <w:link w:val="afb"/>
    <w:uiPriority w:val="99"/>
    <w:semiHidden/>
    <w:rsid w:val="0057675D"/>
    <w:rPr>
      <w:rFonts w:eastAsiaTheme="minorEastAsia"/>
      <w:b/>
      <w:bCs/>
      <w:lang w:bidi="ar-SA"/>
    </w:rPr>
  </w:style>
  <w:style w:type="character" w:customStyle="1" w:styleId="a9">
    <w:name w:val="無間距 字元"/>
    <w:link w:val="a8"/>
    <w:uiPriority w:val="1"/>
    <w:rsid w:val="00EF3435"/>
  </w:style>
  <w:style w:type="character" w:customStyle="1" w:styleId="11">
    <w:name w:val="未解析的提及1"/>
    <w:basedOn w:val="a0"/>
    <w:uiPriority w:val="99"/>
    <w:semiHidden/>
    <w:unhideWhenUsed/>
    <w:rsid w:val="00821386"/>
    <w:rPr>
      <w:color w:val="605E5C"/>
      <w:shd w:val="clear" w:color="auto" w:fill="E1DFDD"/>
    </w:rPr>
  </w:style>
  <w:style w:type="paragraph" w:customStyle="1" w:styleId="MDPI21heading1">
    <w:name w:val="MDPI_2.1_heading1"/>
    <w:rsid w:val="00ED4759"/>
    <w:pPr>
      <w:adjustRightInd w:val="0"/>
      <w:snapToGrid w:val="0"/>
      <w:spacing w:before="240" w:after="60" w:line="228" w:lineRule="auto"/>
      <w:ind w:left="2608" w:right="0" w:firstLine="0"/>
      <w:jc w:val="left"/>
      <w:outlineLvl w:val="0"/>
    </w:pPr>
    <w:rPr>
      <w:rFonts w:ascii="Palatino Linotype" w:eastAsia="Times New Roman" w:hAnsi="Palatino Linotype" w:cs="Times New Roman"/>
      <w:b/>
      <w:snapToGrid w:val="0"/>
      <w:color w:val="000000"/>
      <w:sz w:val="20"/>
      <w:szCs w:val="21"/>
      <w:lang w:eastAsia="de-DE" w:bidi="en-US"/>
    </w:rPr>
  </w:style>
  <w:style w:type="character" w:styleId="afd">
    <w:name w:val="Unresolved Mention"/>
    <w:basedOn w:val="a0"/>
    <w:uiPriority w:val="99"/>
    <w:semiHidden/>
    <w:unhideWhenUsed/>
    <w:rsid w:val="009F5D57"/>
    <w:rPr>
      <w:color w:val="605E5C"/>
      <w:shd w:val="clear" w:color="auto" w:fill="E1DFDD"/>
    </w:rPr>
  </w:style>
  <w:style w:type="paragraph" w:styleId="afe">
    <w:name w:val="Revision"/>
    <w:hidden/>
    <w:uiPriority w:val="99"/>
    <w:semiHidden/>
    <w:rsid w:val="00B22FF4"/>
    <w:pPr>
      <w:spacing w:line="240" w:lineRule="auto"/>
      <w:ind w:left="0" w:right="0" w:firstLine="0"/>
      <w:jc w:val="left"/>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hipras@telkomuniversity.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su11174649"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jinfomgt.2018.11.01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007/s11628-021-00439-8" TargetMode="External"/><Relationship Id="rId4" Type="http://schemas.openxmlformats.org/officeDocument/2006/relationships/settings" Target="settings.xml"/><Relationship Id="rId9" Type="http://schemas.openxmlformats.org/officeDocument/2006/relationships/hyperlink" Target="https://api.semanticscholar.org/CorpusID:251244011"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40A749DD24ABFAA08AF99E6B45943"/>
        <w:category>
          <w:name w:val="General"/>
          <w:gallery w:val="placeholder"/>
        </w:category>
        <w:types>
          <w:type w:val="bbPlcHdr"/>
        </w:types>
        <w:behaviors>
          <w:behavior w:val="content"/>
        </w:behaviors>
        <w:guid w:val="{D3B9ABF1-44B6-4F45-BE1C-799C15B69E95}"/>
      </w:docPartPr>
      <w:docPartBody>
        <w:p w:rsidR="00283053" w:rsidRDefault="00CD6925" w:rsidP="003207FA">
          <w:pPr>
            <w:pStyle w:val="1CF40A749DD24ABFAA08AF99E6B45943"/>
          </w:pPr>
          <w:r w:rsidRPr="00BA38D3">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7FA"/>
    <w:rsid w:val="000A72E2"/>
    <w:rsid w:val="00116781"/>
    <w:rsid w:val="00142D29"/>
    <w:rsid w:val="001B38DA"/>
    <w:rsid w:val="001C21A5"/>
    <w:rsid w:val="00252D44"/>
    <w:rsid w:val="00283053"/>
    <w:rsid w:val="002C1930"/>
    <w:rsid w:val="002D4AFE"/>
    <w:rsid w:val="002F3877"/>
    <w:rsid w:val="003207FA"/>
    <w:rsid w:val="00511573"/>
    <w:rsid w:val="005E523C"/>
    <w:rsid w:val="006131BC"/>
    <w:rsid w:val="0061621E"/>
    <w:rsid w:val="00640F47"/>
    <w:rsid w:val="0064235B"/>
    <w:rsid w:val="00671022"/>
    <w:rsid w:val="006B59FE"/>
    <w:rsid w:val="006D2EDF"/>
    <w:rsid w:val="006D4671"/>
    <w:rsid w:val="007076A3"/>
    <w:rsid w:val="0086664A"/>
    <w:rsid w:val="00946B97"/>
    <w:rsid w:val="009A5925"/>
    <w:rsid w:val="00A80D1E"/>
    <w:rsid w:val="00AB56F8"/>
    <w:rsid w:val="00AC4120"/>
    <w:rsid w:val="00B23960"/>
    <w:rsid w:val="00C73E38"/>
    <w:rsid w:val="00CD6925"/>
    <w:rsid w:val="00D5316F"/>
    <w:rsid w:val="00D76DCB"/>
    <w:rsid w:val="00EA6F84"/>
    <w:rsid w:val="00EF651D"/>
    <w:rsid w:val="00F10337"/>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07FA"/>
    <w:rPr>
      <w:color w:val="808080"/>
    </w:rPr>
  </w:style>
  <w:style w:type="paragraph" w:customStyle="1" w:styleId="1CF40A749DD24ABFAA08AF99E6B45943">
    <w:name w:val="1CF40A749DD24ABFAA08AF99E6B45943"/>
    <w:rsid w:val="003207F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D7EB-B43B-4F34-BFD7-CAD780DC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9454</Words>
  <Characters>53888</Characters>
  <Application>Microsoft Office Word</Application>
  <DocSecurity>0</DocSecurity>
  <Lines>449</Lines>
  <Paragraphs>126</Paragraphs>
  <ScaleCrop>false</ScaleCrop>
  <HeadingPairs>
    <vt:vector size="6" baseType="variant">
      <vt:variant>
        <vt:lpstr>Title</vt:lpstr>
      </vt:variant>
      <vt:variant>
        <vt:i4>1</vt:i4>
      </vt:variant>
      <vt:variant>
        <vt:lpstr>標題</vt:lpstr>
      </vt:variant>
      <vt:variant>
        <vt:i4>3</vt:i4>
      </vt:variant>
      <vt:variant>
        <vt:lpstr>Headings</vt:lpstr>
      </vt:variant>
      <vt:variant>
        <vt:i4>3</vt:i4>
      </vt:variant>
    </vt:vector>
  </HeadingPairs>
  <TitlesOfParts>
    <vt:vector size="7" baseType="lpstr">
      <vt:lpstr/>
      <vt:lpstr>    How Brand Experience Drives Brand Equity in Social Commerce:  The Mediating Role</vt:lpstr>
      <vt:lpstr>    </vt:lpstr>
      <vt:lpstr>Source. Author’s work. </vt:lpstr>
      <vt:lpstr>    How Brand Experience Drives Brand Equity in Social Commerce:  The Mediating Role</vt:lpstr>
      <vt:lpstr>    </vt:lpstr>
      <vt:lpstr>Source. Author’s work. </vt:lpstr>
    </vt:vector>
  </TitlesOfParts>
  <Company/>
  <LinksUpToDate>false</LinksUpToDate>
  <CharactersWithSpaces>63216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dr.l</dc:creator>
  <cp:lastModifiedBy>anny yang</cp:lastModifiedBy>
  <cp:revision>3</cp:revision>
  <cp:lastPrinted>2023-10-05T09:52:00Z</cp:lastPrinted>
  <dcterms:created xsi:type="dcterms:W3CDTF">2026-09-07T03:19:00Z</dcterms:created>
  <dcterms:modified xsi:type="dcterms:W3CDTF">2026-09-07T03:50:00Z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480156906302a8869926103a9321855f633e40386f35567621244e5f5d2683a7</vt:lpwstr>
  </property>
</Properties>
</file>